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8A0578">
      <w:pPr>
        <w:rPr>
          <w:rFonts w:ascii="Sennheiser Office" w:hAnsi="Sennheiser Office" w:eastAsia="宋体"/>
        </w:rPr>
      </w:pPr>
      <w:bookmarkStart w:id="0" w:name="_Hlk44672633"/>
      <w:r>
        <w:rPr>
          <w:rFonts w:ascii="Sennheiser Office" w:hAnsi="Sennheiser Office" w:eastAsia="宋体"/>
        </w:rPr>
        <w:drawing>
          <wp:inline distT="0" distB="0" distL="0" distR="0">
            <wp:extent cx="5003800" cy="2903855"/>
            <wp:effectExtent l="0" t="0" r="6350" b="0"/>
            <wp:docPr id="657740718" name="Grafik 2" descr="Ein Bild, das Konzert, Darbietung, Musiker,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40718" name="Grafik 2" descr="Ein Bild, das Konzert, Darbietung, Musiker, Musik enthält.&#10;&#10;KI-generierte Inhalte können fehlerhaft sein."/>
                    <pic:cNvPicPr>
                      <a:picLocks noChangeAspect="1"/>
                    </pic:cNvPicPr>
                  </pic:nvPicPr>
                  <pic:blipFill>
                    <a:blip r:embed="rId9"/>
                    <a:srcRect b="12936"/>
                    <a:stretch>
                      <a:fillRect/>
                    </a:stretch>
                  </pic:blipFill>
                  <pic:spPr>
                    <a:xfrm>
                      <a:off x="0" y="0"/>
                      <a:ext cx="5003800" cy="2904135"/>
                    </a:xfrm>
                    <a:prstGeom prst="rect">
                      <a:avLst/>
                    </a:prstGeom>
                    <a:ln>
                      <a:noFill/>
                    </a:ln>
                  </pic:spPr>
                </pic:pic>
              </a:graphicData>
            </a:graphic>
          </wp:inline>
        </w:drawing>
      </w:r>
    </w:p>
    <w:p w14:paraId="1E5670F0">
      <w:pPr>
        <w:pStyle w:val="2"/>
        <w:rPr>
          <w:rFonts w:ascii="Sennheiser Office" w:hAnsi="Sennheiser Office" w:eastAsia="宋体"/>
          <w:b w:val="0"/>
          <w:bCs/>
          <w:lang w:eastAsia="zh-CN"/>
        </w:rPr>
      </w:pPr>
      <w:r>
        <w:rPr>
          <w:rFonts w:ascii="Sennheiser Office" w:hAnsi="Sennheiser Office" w:eastAsia="宋体"/>
          <w:lang w:eastAsia="zh-CN"/>
        </w:rPr>
        <w:t>MD 9235麦克风头</w:t>
      </w:r>
      <w:r>
        <w:rPr>
          <w:rFonts w:hint="eastAsia" w:ascii="Sennheiser Office" w:hAnsi="Sennheiser Office" w:eastAsia="宋体"/>
          <w:lang w:eastAsia="zh-CN"/>
        </w:rPr>
        <w:t>重磅</w:t>
      </w:r>
      <w:r>
        <w:rPr>
          <w:rFonts w:ascii="Sennheiser Office" w:hAnsi="Sennheiser Office" w:eastAsia="宋体"/>
          <w:lang w:eastAsia="zh-CN"/>
        </w:rPr>
        <w:t>回归</w:t>
      </w:r>
    </w:p>
    <w:p w14:paraId="0D60B42B">
      <w:pPr>
        <w:rPr>
          <w:rStyle w:val="18"/>
          <w:rFonts w:ascii="Sennheiser Office" w:hAnsi="Sennheiser Office" w:eastAsia="宋体"/>
          <w:lang w:eastAsia="zh-CN"/>
        </w:rPr>
      </w:pPr>
      <w:r>
        <w:rPr>
          <w:rStyle w:val="18"/>
          <w:rFonts w:ascii="Sennheiser Office" w:hAnsi="Sennheiser Office" w:eastAsia="宋体"/>
          <w:lang w:eastAsia="zh-CN"/>
        </w:rPr>
        <w:t>森海塞尔宣布</w:t>
      </w:r>
      <w:r>
        <w:rPr>
          <w:rStyle w:val="18"/>
          <w:rFonts w:hint="eastAsia" w:ascii="Sennheiser Office" w:hAnsi="Sennheiser Office" w:eastAsia="宋体"/>
          <w:lang w:eastAsia="zh-CN"/>
        </w:rPr>
        <w:t>为其传奇麦克风头</w:t>
      </w:r>
      <w:r>
        <w:rPr>
          <w:rStyle w:val="18"/>
          <w:rFonts w:ascii="Sennheiser Office" w:hAnsi="Sennheiser Office" w:eastAsia="宋体"/>
          <w:lang w:eastAsia="zh-CN"/>
        </w:rPr>
        <w:t>开启全新生产线</w:t>
      </w:r>
    </w:p>
    <w:p w14:paraId="5302C24F">
      <w:pPr>
        <w:rPr>
          <w:rStyle w:val="18"/>
          <w:rFonts w:ascii="Sennheiser Office" w:hAnsi="Sennheiser Office" w:eastAsia="宋体"/>
          <w:b w:val="0"/>
          <w:bCs w:val="0"/>
          <w:lang w:eastAsia="zh-CN"/>
        </w:rPr>
      </w:pPr>
    </w:p>
    <w:p w14:paraId="562AC4F5">
      <w:pPr>
        <w:rPr>
          <w:rStyle w:val="18"/>
          <w:rFonts w:ascii="Sennheiser Office" w:hAnsi="Sennheiser Office" w:eastAsia="宋体"/>
          <w:lang w:eastAsia="zh-CN"/>
        </w:rPr>
      </w:pPr>
      <w:r>
        <w:rPr>
          <w:rStyle w:val="18"/>
          <w:rFonts w:ascii="Sennheiser Office" w:hAnsi="Sennheiser Office" w:eastAsia="宋体"/>
          <w:i/>
          <w:iCs/>
          <w:lang w:eastAsia="zh-CN"/>
        </w:rPr>
        <w:t>德国韦德马克，2026年3月3日</w:t>
      </w:r>
      <w:r>
        <w:rPr>
          <w:rStyle w:val="18"/>
          <w:rFonts w:hint="eastAsia" w:ascii="Sennheiser Office" w:hAnsi="Sennheiser Office" w:eastAsia="宋体"/>
          <w:i/>
          <w:iCs/>
          <w:lang w:eastAsia="zh-CN"/>
        </w:rPr>
        <w:t>——</w:t>
      </w:r>
      <w:r>
        <w:rPr>
          <w:rStyle w:val="18"/>
          <w:rFonts w:ascii="Sennheiser Office" w:hAnsi="Sennheiser Office" w:eastAsia="宋体"/>
          <w:lang w:eastAsia="zh-CN"/>
        </w:rPr>
        <w:t>MD 9235</w:t>
      </w:r>
      <w:r>
        <w:rPr>
          <w:rStyle w:val="18"/>
          <w:rFonts w:hint="eastAsia" w:ascii="Sennheiser Office" w:hAnsi="Sennheiser Office" w:eastAsia="宋体"/>
          <w:lang w:eastAsia="zh-CN"/>
        </w:rPr>
        <w:t>话筒头适配于</w:t>
      </w:r>
      <w:r>
        <w:rPr>
          <w:rStyle w:val="18"/>
          <w:rFonts w:ascii="Sennheiser Office" w:hAnsi="Sennheiser Office" w:eastAsia="宋体"/>
          <w:lang w:eastAsia="zh-CN"/>
        </w:rPr>
        <w:t>无线手持</w:t>
      </w:r>
      <w:r>
        <w:rPr>
          <w:rStyle w:val="18"/>
          <w:rFonts w:hint="eastAsia" w:ascii="Sennheiser Office" w:hAnsi="Sennheiser Office" w:eastAsia="宋体"/>
          <w:lang w:eastAsia="zh-CN"/>
        </w:rPr>
        <w:t>麦克风，</w:t>
      </w:r>
      <w:r>
        <w:rPr>
          <w:rStyle w:val="18"/>
          <w:rFonts w:ascii="Sennheiser Office" w:hAnsi="Sennheiser Office" w:eastAsia="宋体"/>
          <w:lang w:eastAsia="zh-CN"/>
        </w:rPr>
        <w:t>因其在舞台高声压环境下出色的穿透力和即使在扩声系统前也能有效抑制串音</w:t>
      </w:r>
      <w:r>
        <w:rPr>
          <w:rStyle w:val="18"/>
          <w:rFonts w:hint="eastAsia" w:ascii="Sennheiser Office" w:hAnsi="Sennheiser Office" w:eastAsia="宋体"/>
          <w:lang w:eastAsia="zh-CN"/>
        </w:rPr>
        <w:t>的出色表现</w:t>
      </w:r>
      <w:r>
        <w:rPr>
          <w:rStyle w:val="18"/>
          <w:rFonts w:ascii="Sennheiser Office" w:hAnsi="Sennheiser Office" w:eastAsia="宋体"/>
          <w:lang w:eastAsia="zh-CN"/>
        </w:rPr>
        <w:t>，一直深受众多工程师及艺人</w:t>
      </w:r>
      <w:r>
        <w:rPr>
          <w:rStyle w:val="18"/>
          <w:rFonts w:hint="eastAsia" w:ascii="Sennheiser Office" w:hAnsi="Sennheiser Office" w:eastAsia="宋体"/>
          <w:lang w:eastAsia="zh-CN"/>
        </w:rPr>
        <w:t>青睐</w:t>
      </w:r>
      <w:r>
        <w:rPr>
          <w:rStyle w:val="18"/>
          <w:rFonts w:ascii="Sennheiser Office" w:hAnsi="Sennheiser Office" w:eastAsia="宋体"/>
          <w:lang w:eastAsia="zh-CN"/>
        </w:rPr>
        <w:t>。几年前，</w:t>
      </w:r>
      <w:r>
        <w:rPr>
          <w:rStyle w:val="18"/>
          <w:rFonts w:hint="eastAsia" w:ascii="Sennheiser Office" w:hAnsi="Sennheiser Office" w:eastAsia="宋体"/>
          <w:lang w:eastAsia="zh-CN"/>
        </w:rPr>
        <w:t>这款</w:t>
      </w:r>
      <w:r>
        <w:rPr>
          <w:rStyle w:val="18"/>
          <w:rFonts w:ascii="Sennheiser Office" w:hAnsi="Sennheiser Office" w:eastAsia="宋体"/>
          <w:lang w:eastAsia="zh-CN"/>
        </w:rPr>
        <w:t>心形指向麦克风头一度停产，但部分巡演专业人士依然钟情于9235清晰细腻的音质和卓越的抑制性能，多次向森海塞尔</w:t>
      </w:r>
      <w:r>
        <w:rPr>
          <w:rStyle w:val="18"/>
          <w:rFonts w:hint="eastAsia" w:ascii="Sennheiser Office" w:hAnsi="Sennheiser Office" w:eastAsia="宋体"/>
          <w:lang w:eastAsia="zh-CN"/>
        </w:rPr>
        <w:t>表示希望</w:t>
      </w:r>
      <w:r>
        <w:rPr>
          <w:rStyle w:val="18"/>
          <w:rFonts w:ascii="Sennheiser Office" w:hAnsi="Sennheiser Office" w:eastAsia="宋体"/>
          <w:lang w:eastAsia="zh-CN"/>
        </w:rPr>
        <w:t>重新推出该</w:t>
      </w:r>
      <w:r>
        <w:rPr>
          <w:rStyle w:val="18"/>
          <w:rFonts w:hint="eastAsia" w:ascii="Sennheiser Office" w:hAnsi="Sennheiser Office" w:eastAsia="宋体"/>
          <w:lang w:eastAsia="zh-CN"/>
        </w:rPr>
        <w:t>话筒头</w:t>
      </w:r>
      <w:r>
        <w:rPr>
          <w:rStyle w:val="18"/>
          <w:rFonts w:ascii="Sennheiser Office" w:hAnsi="Sennheiser Office" w:eastAsia="宋体"/>
          <w:lang w:eastAsia="zh-CN"/>
        </w:rPr>
        <w:t>。</w:t>
      </w:r>
      <w:r>
        <w:rPr>
          <w:rStyle w:val="18"/>
          <w:rFonts w:hint="eastAsia" w:ascii="Sennheiser Office" w:hAnsi="Sennheiser Office" w:eastAsia="宋体"/>
          <w:lang w:eastAsia="zh-CN"/>
        </w:rPr>
        <w:t>现在，</w:t>
      </w:r>
      <w:r>
        <w:rPr>
          <w:rStyle w:val="18"/>
          <w:rFonts w:ascii="Sennheiser Office" w:hAnsi="Sennheiser Office" w:eastAsia="宋体"/>
          <w:lang w:eastAsia="zh-CN"/>
        </w:rPr>
        <w:t>森海塞尔欣然宣布传奇MD 9235无线麦克风头</w:t>
      </w:r>
      <w:r>
        <w:rPr>
          <w:rStyle w:val="18"/>
          <w:rFonts w:hint="eastAsia" w:ascii="Sennheiser Office" w:hAnsi="Sennheiser Office" w:eastAsia="宋体"/>
          <w:lang w:eastAsia="zh-CN"/>
        </w:rPr>
        <w:t>重磅</w:t>
      </w:r>
      <w:r>
        <w:rPr>
          <w:rStyle w:val="18"/>
          <w:rFonts w:ascii="Sennheiser Office" w:hAnsi="Sennheiser Office" w:eastAsia="宋体"/>
          <w:lang w:eastAsia="zh-CN"/>
        </w:rPr>
        <w:t>回归。</w:t>
      </w:r>
    </w:p>
    <w:p w14:paraId="4F1529C0">
      <w:pPr>
        <w:rPr>
          <w:rFonts w:ascii="Sennheiser Office" w:hAnsi="Sennheiser Office" w:eastAsia="宋体"/>
          <w:lang w:eastAsia="zh-CN"/>
        </w:rPr>
      </w:pPr>
    </w:p>
    <w:p w14:paraId="638978C4">
      <w:pPr>
        <w:rPr>
          <w:rStyle w:val="18"/>
          <w:rFonts w:ascii="Sennheiser Office" w:hAnsi="Sennheiser Office" w:eastAsia="宋体"/>
          <w:b w:val="0"/>
          <w:bCs w:val="0"/>
        </w:rPr>
      </w:pPr>
      <w:r>
        <w:rPr>
          <w:rStyle w:val="18"/>
          <w:rFonts w:hint="eastAsia" w:ascii="Sennheiser Office" w:hAnsi="Sennheiser Office" w:eastAsia="宋体"/>
          <w:b w:val="0"/>
          <w:bCs w:val="0"/>
          <w:lang w:eastAsia="zh-CN"/>
        </w:rPr>
        <w:t>“</w:t>
      </w:r>
      <w:r>
        <w:rPr>
          <w:rStyle w:val="18"/>
          <w:rFonts w:ascii="Sennheiser Office" w:hAnsi="Sennheiser Office" w:eastAsia="宋体"/>
          <w:b w:val="0"/>
          <w:bCs w:val="0"/>
          <w:lang w:eastAsia="zh-CN"/>
        </w:rPr>
        <w:t>2020年，MM 435麦克风头和MM 445高抑制麦克风头</w:t>
      </w:r>
      <w:r>
        <w:rPr>
          <w:rStyle w:val="18"/>
          <w:rFonts w:hint="eastAsia" w:ascii="Sennheiser Office" w:hAnsi="Sennheiser Office" w:eastAsia="宋体"/>
          <w:b w:val="0"/>
          <w:bCs w:val="0"/>
          <w:lang w:eastAsia="zh-CN"/>
        </w:rPr>
        <w:t>作为</w:t>
      </w:r>
      <w:r>
        <w:rPr>
          <w:rStyle w:val="18"/>
          <w:rFonts w:ascii="Sennheiser Office" w:hAnsi="Sennheiser Office" w:eastAsia="宋体"/>
          <w:b w:val="0"/>
          <w:bCs w:val="0"/>
          <w:lang w:eastAsia="zh-CN"/>
        </w:rPr>
        <w:t>MD 9235</w:t>
      </w:r>
      <w:r>
        <w:rPr>
          <w:rStyle w:val="18"/>
          <w:rFonts w:hint="eastAsia" w:ascii="Sennheiser Office" w:hAnsi="Sennheiser Office" w:eastAsia="宋体"/>
          <w:b w:val="0"/>
          <w:bCs w:val="0"/>
          <w:lang w:eastAsia="zh-CN"/>
        </w:rPr>
        <w:t>的继任产品推出</w:t>
      </w:r>
      <w:r>
        <w:rPr>
          <w:rStyle w:val="18"/>
          <w:rFonts w:ascii="Sennheiser Office" w:hAnsi="Sennheiser Office" w:eastAsia="宋体"/>
          <w:b w:val="0"/>
          <w:bCs w:val="0"/>
          <w:lang w:eastAsia="zh-CN"/>
        </w:rPr>
        <w:t>后，</w:t>
      </w:r>
      <w:r>
        <w:rPr>
          <w:rStyle w:val="18"/>
          <w:rFonts w:hint="eastAsia" w:ascii="Sennheiser Office" w:hAnsi="Sennheiser Office" w:eastAsia="宋体"/>
          <w:b w:val="0"/>
          <w:bCs w:val="0"/>
          <w:lang w:eastAsia="zh-CN"/>
        </w:rPr>
        <w:t>分别</w:t>
      </w:r>
      <w:r>
        <w:rPr>
          <w:rStyle w:val="18"/>
          <w:rFonts w:ascii="Sennheiser Office" w:hAnsi="Sennheiser Office" w:eastAsia="宋体"/>
          <w:b w:val="0"/>
          <w:bCs w:val="0"/>
          <w:lang w:eastAsia="zh-CN"/>
        </w:rPr>
        <w:t>迅速赢得了各自的粉丝群</w:t>
      </w:r>
      <w:r>
        <w:rPr>
          <w:rStyle w:val="18"/>
          <w:rFonts w:hint="eastAsia" w:ascii="Sennheiser Office" w:hAnsi="Sennheiser Office" w:eastAsia="宋体"/>
          <w:b w:val="0"/>
          <w:bCs w:val="0"/>
          <w:lang w:eastAsia="zh-CN"/>
        </w:rPr>
        <w:t>，”</w:t>
      </w:r>
      <w:r>
        <w:rPr>
          <w:rStyle w:val="18"/>
          <w:rFonts w:ascii="Sennheiser Office" w:hAnsi="Sennheiser Office" w:eastAsia="宋体"/>
          <w:b w:val="0"/>
          <w:bCs w:val="0"/>
          <w:lang w:eastAsia="zh-CN"/>
        </w:rPr>
        <w:t>产品经理Sebastian Schmitz表示</w:t>
      </w:r>
      <w:r>
        <w:rPr>
          <w:rStyle w:val="18"/>
          <w:rFonts w:hint="eastAsia" w:ascii="Sennheiser Office" w:hAnsi="Sennheiser Office" w:eastAsia="宋体"/>
          <w:b w:val="0"/>
          <w:bCs w:val="0"/>
          <w:lang w:eastAsia="zh-CN"/>
        </w:rPr>
        <w:t>，“然而，</w:t>
      </w:r>
      <w:r>
        <w:rPr>
          <w:rStyle w:val="18"/>
          <w:rFonts w:ascii="Sennheiser Office" w:hAnsi="Sennheiser Office" w:eastAsia="宋体"/>
          <w:b w:val="0"/>
          <w:bCs w:val="0"/>
          <w:lang w:eastAsia="zh-CN"/>
        </w:rPr>
        <w:t>即便几年过去，我们仍不断收到关于MD 9235的</w:t>
      </w:r>
      <w:r>
        <w:rPr>
          <w:rStyle w:val="18"/>
          <w:rFonts w:hint="eastAsia" w:ascii="Sennheiser Office" w:hAnsi="Sennheiser Office" w:eastAsia="宋体"/>
          <w:b w:val="0"/>
          <w:bCs w:val="0"/>
          <w:lang w:eastAsia="zh-CN"/>
        </w:rPr>
        <w:t>问询</w:t>
      </w:r>
      <w:r>
        <w:rPr>
          <w:rStyle w:val="18"/>
          <w:rFonts w:ascii="Sennheiser Office" w:hAnsi="Sennheiser Office" w:eastAsia="宋体"/>
          <w:b w:val="0"/>
          <w:bCs w:val="0"/>
          <w:lang w:eastAsia="zh-CN"/>
        </w:rPr>
        <w:t>。于是</w:t>
      </w:r>
      <w:r>
        <w:rPr>
          <w:rStyle w:val="18"/>
          <w:rFonts w:hint="eastAsia" w:ascii="Sennheiser Office" w:hAnsi="Sennheiser Office" w:eastAsia="宋体"/>
          <w:b w:val="0"/>
          <w:bCs w:val="0"/>
          <w:lang w:eastAsia="zh-CN"/>
        </w:rPr>
        <w:t>，</w:t>
      </w:r>
      <w:r>
        <w:rPr>
          <w:rStyle w:val="18"/>
          <w:rFonts w:ascii="Sennheiser Office" w:hAnsi="Sennheiser Office" w:eastAsia="宋体"/>
          <w:b w:val="0"/>
          <w:bCs w:val="0"/>
          <w:lang w:eastAsia="zh-CN"/>
        </w:rPr>
        <w:t>我们与研发及生产工程师共同探讨如何</w:t>
      </w:r>
      <w:r>
        <w:rPr>
          <w:rStyle w:val="18"/>
          <w:rFonts w:hint="eastAsia" w:ascii="Sennheiser Office" w:hAnsi="Sennheiser Office" w:eastAsia="宋体"/>
          <w:b w:val="0"/>
          <w:bCs w:val="0"/>
          <w:lang w:eastAsia="zh-CN"/>
        </w:rPr>
        <w:t>重新推出</w:t>
      </w:r>
      <w:r>
        <w:rPr>
          <w:rStyle w:val="18"/>
          <w:rFonts w:ascii="Sennheiser Office" w:hAnsi="Sennheiser Office" w:eastAsia="宋体"/>
          <w:b w:val="0"/>
          <w:bCs w:val="0"/>
          <w:lang w:eastAsia="zh-CN"/>
        </w:rPr>
        <w:t>9</w:t>
      </w:r>
      <w:r>
        <w:rPr>
          <w:rStyle w:val="18"/>
          <w:rFonts w:hint="eastAsia" w:ascii="Sennheiser Office" w:hAnsi="Sennheiser Office" w:eastAsia="宋体"/>
          <w:b w:val="0"/>
          <w:bCs w:val="0"/>
          <w:lang w:eastAsia="zh-CN"/>
        </w:rPr>
        <w:t>23</w:t>
      </w:r>
      <w:r>
        <w:rPr>
          <w:rStyle w:val="18"/>
          <w:rFonts w:ascii="Sennheiser Office" w:hAnsi="Sennheiser Office" w:eastAsia="宋体"/>
          <w:b w:val="0"/>
          <w:bCs w:val="0"/>
          <w:lang w:eastAsia="zh-CN"/>
        </w:rPr>
        <w:t>5。经</w:t>
      </w:r>
      <w:r>
        <w:rPr>
          <w:rStyle w:val="18"/>
          <w:rFonts w:hint="eastAsia" w:ascii="Sennheiser Office" w:hAnsi="Sennheiser Office" w:eastAsia="宋体"/>
          <w:b w:val="0"/>
          <w:bCs w:val="0"/>
          <w:lang w:eastAsia="zh-CN"/>
        </w:rPr>
        <w:t>过</w:t>
      </w:r>
      <w:r>
        <w:rPr>
          <w:rStyle w:val="18"/>
          <w:rFonts w:ascii="Sennheiser Office" w:hAnsi="Sennheiser Office" w:eastAsia="宋体"/>
          <w:b w:val="0"/>
          <w:bCs w:val="0"/>
          <w:lang w:eastAsia="zh-CN"/>
        </w:rPr>
        <w:t>多位巡演音响工程师</w:t>
      </w:r>
      <w:r>
        <w:rPr>
          <w:rStyle w:val="18"/>
          <w:rFonts w:hint="eastAsia" w:ascii="Sennheiser Office" w:hAnsi="Sennheiser Office" w:eastAsia="宋体"/>
          <w:b w:val="0"/>
          <w:bCs w:val="0"/>
          <w:lang w:eastAsia="zh-CN"/>
        </w:rPr>
        <w:t>对样机</w:t>
      </w:r>
      <w:r>
        <w:rPr>
          <w:rStyle w:val="18"/>
          <w:rFonts w:ascii="Sennheiser Office" w:hAnsi="Sennheiser Office" w:eastAsia="宋体"/>
          <w:b w:val="0"/>
          <w:bCs w:val="0"/>
          <w:lang w:eastAsia="zh-CN"/>
        </w:rPr>
        <w:t>的严格测试，他们对MD 9235的回归感到兴奋不已。</w:t>
      </w:r>
      <w:r>
        <w:rPr>
          <w:rStyle w:val="18"/>
          <w:rFonts w:hint="eastAsia" w:ascii="Sennheiser Office" w:hAnsi="Sennheiser Office" w:eastAsia="宋体"/>
          <w:b w:val="0"/>
          <w:bCs w:val="0"/>
          <w:lang w:eastAsia="zh-CN"/>
        </w:rPr>
        <w:t>”</w:t>
      </w:r>
    </w:p>
    <w:p w14:paraId="0A060392">
      <w:pPr>
        <w:rPr>
          <w:rStyle w:val="18"/>
          <w:rFonts w:ascii="Sennheiser Office" w:hAnsi="Sennheiser Office" w:eastAsia="宋体"/>
          <w:b w:val="0"/>
          <w:bCs w:val="0"/>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3258"/>
        <w:gridCol w:w="4614"/>
      </w:tblGrid>
      <w:tr w14:paraId="2535E8A0">
        <w:tc>
          <w:tcPr>
            <w:tcW w:w="3256" w:type="dxa"/>
          </w:tcPr>
          <w:p w14:paraId="77610DE8">
            <w:pPr>
              <w:pStyle w:val="7"/>
              <w:rPr>
                <w:rStyle w:val="18"/>
                <w:rFonts w:ascii="Sennheiser Office" w:hAnsi="Sennheiser Office" w:eastAsia="宋体"/>
                <w:b w:val="0"/>
                <w:bCs w:val="0"/>
              </w:rPr>
            </w:pPr>
            <w:r>
              <w:rPr>
                <w:rStyle w:val="18"/>
                <w:rFonts w:ascii="Sennheiser Office" w:hAnsi="Sennheiser Office" w:eastAsia="宋体"/>
              </w:rPr>
              <w:drawing>
                <wp:inline distT="0" distB="0" distL="0" distR="0">
                  <wp:extent cx="1995805" cy="2281555"/>
                  <wp:effectExtent l="0" t="0" r="4445" b="4445"/>
                  <wp:docPr id="834825073" name="Grafik 1" descr="Ein Bild, das Mikrofon,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25073" name="Grafik 1" descr="Ein Bild, das Mikrofon, Audiogeräte enthält.&#10;&#10;KI-generierte Inhalte können fehlerhaft sein."/>
                          <pic:cNvPicPr>
                            <a:picLocks noChangeAspect="1"/>
                          </pic:cNvPicPr>
                        </pic:nvPicPr>
                        <pic:blipFill>
                          <a:blip r:embed="rId10"/>
                          <a:srcRect l="16169" t="11580" r="13750" b="2392"/>
                          <a:stretch>
                            <a:fillRect/>
                          </a:stretch>
                        </pic:blipFill>
                        <pic:spPr>
                          <a:xfrm>
                            <a:off x="0" y="0"/>
                            <a:ext cx="2001151" cy="2288162"/>
                          </a:xfrm>
                          <a:prstGeom prst="rect">
                            <a:avLst/>
                          </a:prstGeom>
                          <a:ln>
                            <a:noFill/>
                          </a:ln>
                        </pic:spPr>
                      </pic:pic>
                    </a:graphicData>
                  </a:graphic>
                </wp:inline>
              </w:drawing>
            </w:r>
          </w:p>
        </w:tc>
        <w:tc>
          <w:tcPr>
            <w:tcW w:w="4614" w:type="dxa"/>
          </w:tcPr>
          <w:p w14:paraId="615F6F18">
            <w:pPr>
              <w:pStyle w:val="7"/>
              <w:rPr>
                <w:rStyle w:val="18"/>
                <w:rFonts w:ascii="Sennheiser Office" w:hAnsi="Sennheiser Office" w:eastAsia="宋体"/>
                <w:b w:val="0"/>
                <w:bCs w:val="0"/>
                <w:lang w:eastAsia="zh-CN"/>
              </w:rPr>
            </w:pPr>
            <w:r>
              <w:rPr>
                <w:rStyle w:val="18"/>
                <w:rFonts w:hint="eastAsia" w:ascii="Sennheiser Office" w:hAnsi="Sennheiser Office" w:eastAsia="宋体"/>
                <w:b w:val="0"/>
                <w:bCs w:val="0"/>
                <w:lang w:eastAsia="zh-CN"/>
              </w:rPr>
              <w:t>通过开启</w:t>
            </w:r>
            <w:r>
              <w:rPr>
                <w:rStyle w:val="18"/>
                <w:rFonts w:ascii="Sennheiser Office" w:hAnsi="Sennheiser Office" w:eastAsia="宋体"/>
                <w:b w:val="0"/>
                <w:bCs w:val="0"/>
                <w:lang w:eastAsia="zh-CN"/>
              </w:rPr>
              <w:t>全新生产线，MD 9235麦克风头重新加入森海塞尔产品阵容</w:t>
            </w:r>
          </w:p>
        </w:tc>
      </w:tr>
    </w:tbl>
    <w:p w14:paraId="3698EBDB">
      <w:pPr>
        <w:rPr>
          <w:rStyle w:val="18"/>
          <w:rFonts w:ascii="Sennheiser Office" w:hAnsi="Sennheiser Office" w:eastAsia="宋体"/>
          <w:b w:val="0"/>
          <w:bCs w:val="0"/>
          <w:lang w:eastAsia="zh-CN"/>
        </w:rPr>
      </w:pPr>
    </w:p>
    <w:p w14:paraId="587AC7DB">
      <w:pPr>
        <w:rPr>
          <w:rFonts w:ascii="Sennheiser Office" w:hAnsi="Sennheiser Office" w:eastAsia="宋体"/>
          <w:lang w:eastAsia="zh-CN"/>
        </w:rPr>
      </w:pPr>
      <w:r>
        <w:rPr>
          <w:rFonts w:ascii="Sennheiser Office" w:hAnsi="Sennheiser Office" w:eastAsia="宋体"/>
          <w:lang w:eastAsia="zh-CN"/>
        </w:rPr>
        <w:t>一如既往，MD 9235经过精心制作，能够准确且强劲地还原人声，同时有效抑制来自侧面和后方的环境噪声，</w:t>
      </w:r>
      <w:r>
        <w:rPr>
          <w:rFonts w:hint="eastAsia" w:ascii="Sennheiser Office" w:hAnsi="Sennheiser Office" w:eastAsia="宋体"/>
          <w:lang w:eastAsia="zh-CN"/>
        </w:rPr>
        <w:t>对于</w:t>
      </w:r>
      <w:r>
        <w:rPr>
          <w:rFonts w:ascii="Sennheiser Office" w:hAnsi="Sennheiser Office" w:eastAsia="宋体"/>
          <w:lang w:eastAsia="zh-CN"/>
        </w:rPr>
        <w:t>表演者动态移动且频繁站在</w:t>
      </w:r>
      <w:r>
        <w:rPr>
          <w:rFonts w:hint="eastAsia" w:ascii="Sennheiser Office" w:hAnsi="Sennheiser Office" w:eastAsia="宋体"/>
          <w:lang w:eastAsia="zh-CN"/>
        </w:rPr>
        <w:t>扩声系统</w:t>
      </w:r>
      <w:r>
        <w:rPr>
          <w:rFonts w:ascii="Sennheiser Office" w:hAnsi="Sennheiser Office" w:eastAsia="宋体"/>
          <w:lang w:eastAsia="zh-CN"/>
        </w:rPr>
        <w:t>前</w:t>
      </w:r>
      <w:r>
        <w:rPr>
          <w:rFonts w:hint="eastAsia" w:ascii="Sennheiser Office" w:hAnsi="Sennheiser Office" w:eastAsia="宋体"/>
          <w:lang w:eastAsia="zh-CN"/>
        </w:rPr>
        <w:t>的这类</w:t>
      </w:r>
      <w:r>
        <w:rPr>
          <w:rFonts w:ascii="Sennheiser Office" w:hAnsi="Sennheiser Office" w:eastAsia="宋体"/>
          <w:lang w:eastAsia="zh-CN"/>
        </w:rPr>
        <w:t>应用场景</w:t>
      </w:r>
      <w:r>
        <w:rPr>
          <w:rFonts w:hint="eastAsia" w:ascii="Sennheiser Office" w:hAnsi="Sennheiser Office" w:eastAsia="宋体"/>
          <w:lang w:eastAsia="zh-CN"/>
        </w:rPr>
        <w:t>来说，MD 9235堪称</w:t>
      </w:r>
      <w:r>
        <w:rPr>
          <w:rFonts w:ascii="Sennheiser Office" w:hAnsi="Sennheiser Office" w:eastAsia="宋体"/>
          <w:lang w:eastAsia="zh-CN"/>
        </w:rPr>
        <w:t>理想</w:t>
      </w:r>
      <w:r>
        <w:rPr>
          <w:rFonts w:hint="eastAsia" w:ascii="Sennheiser Office" w:hAnsi="Sennheiser Office" w:eastAsia="宋体"/>
          <w:lang w:eastAsia="zh-CN"/>
        </w:rPr>
        <w:t>之</w:t>
      </w:r>
      <w:r>
        <w:rPr>
          <w:rFonts w:ascii="Sennheiser Office" w:hAnsi="Sennheiser Office" w:eastAsia="宋体"/>
          <w:lang w:eastAsia="zh-CN"/>
        </w:rPr>
        <w:t>选。</w:t>
      </w:r>
    </w:p>
    <w:p w14:paraId="429FBF8D">
      <w:pPr>
        <w:rPr>
          <w:rFonts w:ascii="Sennheiser Office" w:hAnsi="Sennheiser Office" w:eastAsia="宋体"/>
          <w:lang w:eastAsia="zh-CN"/>
        </w:rPr>
      </w:pPr>
    </w:p>
    <w:p w14:paraId="08251915">
      <w:pPr>
        <w:rPr>
          <w:rFonts w:ascii="Sennheiser Office" w:hAnsi="Sennheiser Office" w:eastAsia="宋体"/>
          <w:lang w:eastAsia="zh-CN"/>
        </w:rPr>
      </w:pPr>
      <w:r>
        <w:rPr>
          <w:rFonts w:hint="eastAsia" w:ascii="Sennheiser Office" w:hAnsi="Sennheiser Office" w:eastAsia="宋体"/>
          <w:lang w:eastAsia="zh-CN"/>
        </w:rPr>
        <w:t>这款</w:t>
      </w:r>
      <w:r>
        <w:rPr>
          <w:rFonts w:ascii="Sennheiser Office" w:hAnsi="Sennheiser Office" w:eastAsia="宋体"/>
          <w:lang w:eastAsia="zh-CN"/>
        </w:rPr>
        <w:t>麦克风头采用轻质铝铜</w:t>
      </w:r>
      <w:r>
        <w:rPr>
          <w:rFonts w:hint="eastAsia" w:ascii="Sennheiser Office" w:hAnsi="Sennheiser Office" w:eastAsia="宋体"/>
          <w:lang w:eastAsia="zh-CN"/>
        </w:rPr>
        <w:t>结合</w:t>
      </w:r>
      <w:r>
        <w:rPr>
          <w:rFonts w:ascii="Sennheiser Office" w:hAnsi="Sennheiser Office" w:eastAsia="宋体"/>
          <w:lang w:eastAsia="zh-CN"/>
        </w:rPr>
        <w:t>线圈，响应速度</w:t>
      </w:r>
      <w:r>
        <w:rPr>
          <w:rFonts w:hint="eastAsia" w:ascii="Sennheiser Office" w:hAnsi="Sennheiser Office" w:eastAsia="宋体"/>
          <w:lang w:eastAsia="zh-CN"/>
        </w:rPr>
        <w:t>优于</w:t>
      </w:r>
      <w:r>
        <w:rPr>
          <w:rFonts w:ascii="Sennheiser Office" w:hAnsi="Sennheiser Office" w:eastAsia="宋体"/>
          <w:lang w:eastAsia="zh-CN"/>
        </w:rPr>
        <w:t>传统线圈，即使在极具挑战的环境下，也能呈现令人惊叹的细节和通透感。</w:t>
      </w:r>
    </w:p>
    <w:p w14:paraId="0FDF1023">
      <w:pPr>
        <w:rPr>
          <w:rFonts w:ascii="Sennheiser Office" w:hAnsi="Sennheiser Office" w:eastAsia="宋体"/>
          <w:lang w:eastAsia="zh-CN"/>
        </w:rPr>
      </w:pPr>
    </w:p>
    <w:p w14:paraId="329D7F43">
      <w:pPr>
        <w:rPr>
          <w:rFonts w:ascii="Sennheiser Office" w:hAnsi="Sennheiser Office" w:eastAsia="宋体"/>
          <w:lang w:eastAsia="zh-CN"/>
        </w:rPr>
      </w:pPr>
      <w:r>
        <w:rPr>
          <w:rFonts w:ascii="Sennheiser Office" w:hAnsi="Sennheiser Office" w:eastAsia="宋体"/>
          <w:lang w:eastAsia="zh-CN"/>
        </w:rPr>
        <w:t>MD 9235产品配备收纳包</w:t>
      </w:r>
      <w:r>
        <w:rPr>
          <w:rFonts w:hint="eastAsia" w:ascii="Sennheiser Office" w:hAnsi="Sennheiser Office" w:eastAsia="宋体"/>
          <w:lang w:eastAsia="zh-CN"/>
        </w:rPr>
        <w:t>和</w:t>
      </w:r>
      <w:r>
        <w:rPr>
          <w:rFonts w:ascii="Sennheiser Office" w:hAnsi="Sennheiser Office" w:eastAsia="宋体"/>
          <w:lang w:eastAsia="zh-CN"/>
        </w:rPr>
        <w:t>五个可</w:t>
      </w:r>
      <w:r>
        <w:rPr>
          <w:rFonts w:hint="eastAsia" w:ascii="Sennheiser Office" w:hAnsi="Sennheiser Office" w:eastAsia="宋体"/>
          <w:lang w:eastAsia="zh-CN"/>
        </w:rPr>
        <w:t>替换用的</w:t>
      </w:r>
      <w:r>
        <w:rPr>
          <w:rFonts w:ascii="Sennheiser Office" w:hAnsi="Sennheiser Office" w:eastAsia="宋体"/>
          <w:lang w:eastAsia="zh-CN"/>
        </w:rPr>
        <w:t>泡棉内衬。</w:t>
      </w:r>
    </w:p>
    <w:p w14:paraId="0272F0DA">
      <w:pPr>
        <w:rPr>
          <w:rFonts w:ascii="Sennheiser Office" w:hAnsi="Sennheiser Office" w:eastAsia="宋体"/>
          <w:lang w:eastAsia="zh-CN"/>
        </w:rPr>
      </w:pPr>
    </w:p>
    <w:p w14:paraId="6B688BB3">
      <w:pPr>
        <w:rPr>
          <w:rStyle w:val="18"/>
          <w:rFonts w:ascii="Sennheiser Office" w:hAnsi="Sennheiser Office" w:eastAsia="宋体"/>
          <w:lang w:eastAsia="zh-CN"/>
        </w:rPr>
      </w:pPr>
      <w:r>
        <w:rPr>
          <w:rStyle w:val="18"/>
          <w:rFonts w:ascii="Sennheiser Office" w:hAnsi="Sennheiser Office" w:eastAsia="宋体"/>
          <w:lang w:eastAsia="zh-CN"/>
        </w:rPr>
        <w:t>技术参数</w:t>
      </w:r>
    </w:p>
    <w:p w14:paraId="074E5A4E">
      <w:pPr>
        <w:rPr>
          <w:rStyle w:val="18"/>
          <w:rFonts w:ascii="Sennheiser Office" w:hAnsi="Sennheiser Office" w:eastAsia="宋体"/>
          <w:b w:val="0"/>
          <w:bCs w:val="0"/>
          <w:lang w:eastAsia="zh-CN"/>
        </w:rPr>
      </w:pPr>
      <w:r>
        <w:rPr>
          <w:rStyle w:val="18"/>
          <w:rFonts w:hint="eastAsia" w:ascii="Sennheiser Office" w:hAnsi="Sennheiser Office" w:eastAsia="宋体"/>
          <w:lang w:eastAsia="zh-CN"/>
        </w:rPr>
        <w:t>麦克风</w:t>
      </w:r>
      <w:r>
        <w:rPr>
          <w:rStyle w:val="18"/>
          <w:rFonts w:ascii="Sennheiser Office" w:hAnsi="Sennheiser Office" w:eastAsia="宋体"/>
          <w:lang w:eastAsia="zh-CN"/>
        </w:rPr>
        <w:t>类型：</w:t>
      </w:r>
      <w:r>
        <w:rPr>
          <w:rStyle w:val="18"/>
          <w:rFonts w:ascii="Sennheiser Office" w:hAnsi="Sennheiser Office" w:eastAsia="宋体"/>
          <w:b w:val="0"/>
          <w:bCs w:val="0"/>
          <w:lang w:eastAsia="zh-CN"/>
        </w:rPr>
        <w:t>动圈</w:t>
      </w:r>
    </w:p>
    <w:p w14:paraId="18F2EB60">
      <w:pPr>
        <w:rPr>
          <w:rStyle w:val="18"/>
          <w:rFonts w:ascii="Sennheiser Office" w:hAnsi="Sennheiser Office" w:eastAsia="宋体"/>
          <w:lang w:eastAsia="zh-CN"/>
        </w:rPr>
      </w:pPr>
      <w:r>
        <w:rPr>
          <w:rStyle w:val="18"/>
          <w:rFonts w:ascii="Sennheiser Office" w:hAnsi="Sennheiser Office" w:eastAsia="宋体"/>
          <w:lang w:eastAsia="zh-CN"/>
        </w:rPr>
        <w:t>指向模式：</w:t>
      </w:r>
      <w:r>
        <w:rPr>
          <w:rStyle w:val="18"/>
          <w:rFonts w:ascii="Sennheiser Office" w:hAnsi="Sennheiser Office" w:eastAsia="宋体"/>
          <w:b w:val="0"/>
          <w:bCs w:val="0"/>
          <w:lang w:eastAsia="zh-CN"/>
        </w:rPr>
        <w:t>心形</w:t>
      </w:r>
    </w:p>
    <w:p w14:paraId="298A7E1E">
      <w:pPr>
        <w:rPr>
          <w:rStyle w:val="18"/>
          <w:rFonts w:ascii="Sennheiser Office" w:hAnsi="Sennheiser Office" w:eastAsia="宋体"/>
          <w:lang w:eastAsia="zh-CN"/>
        </w:rPr>
      </w:pPr>
      <w:r>
        <w:rPr>
          <w:rStyle w:val="18"/>
          <w:rFonts w:ascii="Sennheiser Office" w:hAnsi="Sennheiser Office" w:eastAsia="宋体"/>
          <w:lang w:eastAsia="zh-CN"/>
        </w:rPr>
        <w:t>接口：</w:t>
      </w:r>
      <w:r>
        <w:rPr>
          <w:rStyle w:val="18"/>
          <w:rFonts w:ascii="Sennheiser Office" w:hAnsi="Sennheiser Office" w:eastAsia="宋体"/>
          <w:b w:val="0"/>
          <w:bCs w:val="0"/>
          <w:lang w:eastAsia="zh-CN"/>
        </w:rPr>
        <w:t>森海塞尔标准</w:t>
      </w:r>
      <w:r>
        <w:rPr>
          <w:rStyle w:val="18"/>
          <w:rFonts w:hint="eastAsia" w:ascii="Sennheiser Office" w:hAnsi="Sennheiser Office" w:eastAsia="宋体"/>
          <w:b w:val="0"/>
          <w:bCs w:val="0"/>
          <w:lang w:eastAsia="zh-CN"/>
        </w:rPr>
        <w:t>麦克风头</w:t>
      </w:r>
      <w:r>
        <w:rPr>
          <w:rStyle w:val="18"/>
          <w:rFonts w:ascii="Sennheiser Office" w:hAnsi="Sennheiser Office" w:eastAsia="宋体"/>
          <w:b w:val="0"/>
          <w:bCs w:val="0"/>
          <w:lang w:eastAsia="zh-CN"/>
        </w:rPr>
        <w:t>接口</w:t>
      </w:r>
    </w:p>
    <w:p w14:paraId="799906E9">
      <w:pPr>
        <w:rPr>
          <w:rStyle w:val="18"/>
          <w:rFonts w:ascii="Sennheiser Office" w:hAnsi="Sennheiser Office" w:eastAsia="宋体"/>
          <w:b w:val="0"/>
          <w:bCs w:val="0"/>
        </w:rPr>
      </w:pPr>
      <w:r>
        <w:rPr>
          <w:rStyle w:val="18"/>
          <w:rFonts w:ascii="Sennheiser Office" w:hAnsi="Sennheiser Office" w:eastAsia="宋体"/>
        </w:rPr>
        <w:t>兼容机型：</w:t>
      </w:r>
      <w:r>
        <w:rPr>
          <w:rStyle w:val="18"/>
          <w:rFonts w:hint="eastAsia" w:ascii="Sennheiser Office" w:hAnsi="Sennheiser Office" w:eastAsia="宋体"/>
          <w:b w:val="0"/>
          <w:bCs w:val="0"/>
          <w:lang w:eastAsia="zh-CN"/>
        </w:rPr>
        <w:t>森海塞尔</w:t>
      </w:r>
      <w:r>
        <w:rPr>
          <w:rStyle w:val="18"/>
          <w:rFonts w:ascii="Sennheiser Office" w:hAnsi="Sennheiser Office" w:eastAsia="宋体"/>
          <w:b w:val="0"/>
          <w:bCs w:val="0"/>
        </w:rPr>
        <w:t>Spectera、Digital 6000、Digital 9000、EW-DX、EW-D、EW-DP、2000系列、evolution wireless G4 300及500系列</w:t>
      </w:r>
    </w:p>
    <w:p w14:paraId="39CB21D3">
      <w:pPr>
        <w:rPr>
          <w:rStyle w:val="18"/>
          <w:rFonts w:ascii="Sennheiser Office" w:hAnsi="Sennheiser Office" w:eastAsia="宋体"/>
          <w:b w:val="0"/>
          <w:bCs w:val="0"/>
          <w:lang w:eastAsia="zh-CN"/>
        </w:rPr>
      </w:pPr>
      <w:r>
        <w:rPr>
          <w:rStyle w:val="18"/>
          <w:rFonts w:ascii="Sennheiser Office" w:hAnsi="Sennheiser Office" w:eastAsia="宋体"/>
          <w:lang w:eastAsia="zh-CN"/>
        </w:rPr>
        <w:t>频响范围：</w:t>
      </w:r>
      <w:r>
        <w:rPr>
          <w:rStyle w:val="18"/>
          <w:rFonts w:ascii="Sennheiser Office" w:hAnsi="Sennheiser Office" w:eastAsia="宋体"/>
          <w:b w:val="0"/>
          <w:bCs w:val="0"/>
          <w:lang w:eastAsia="zh-CN"/>
        </w:rPr>
        <w:t>40 – 20,000 Hz（</w:t>
      </w:r>
      <w:r>
        <w:rPr>
          <w:rStyle w:val="18"/>
          <w:rFonts w:hint="eastAsia" w:ascii="Sennheiser Office" w:hAnsi="Sennheiser Office" w:eastAsia="宋体"/>
          <w:b w:val="0"/>
          <w:bCs w:val="0"/>
          <w:lang w:eastAsia="zh-CN"/>
        </w:rPr>
        <w:t xml:space="preserve">+/- </w:t>
      </w:r>
      <w:bookmarkStart w:id="1" w:name="_GoBack"/>
      <w:bookmarkEnd w:id="1"/>
      <w:r>
        <w:rPr>
          <w:rStyle w:val="18"/>
          <w:rFonts w:ascii="Sennheiser Office" w:hAnsi="Sennheiser Office" w:eastAsia="宋体"/>
          <w:b w:val="0"/>
          <w:bCs w:val="0"/>
          <w:lang w:eastAsia="zh-CN"/>
        </w:rPr>
        <w:t>2 dB）</w:t>
      </w:r>
    </w:p>
    <w:p w14:paraId="5A1CC1AE">
      <w:pPr>
        <w:rPr>
          <w:rStyle w:val="18"/>
          <w:rFonts w:ascii="Sennheiser Office" w:hAnsi="Sennheiser Office" w:eastAsia="宋体"/>
          <w:b w:val="0"/>
          <w:bCs w:val="0"/>
          <w:lang w:eastAsia="zh-CN"/>
        </w:rPr>
      </w:pPr>
      <w:r>
        <w:rPr>
          <w:rStyle w:val="18"/>
          <w:rFonts w:ascii="Sennheiser Office" w:hAnsi="Sennheiser Office" w:eastAsia="宋体"/>
          <w:lang w:eastAsia="zh-CN"/>
        </w:rPr>
        <w:t>灵敏度：</w:t>
      </w:r>
      <w:r>
        <w:rPr>
          <w:rStyle w:val="18"/>
          <w:rFonts w:ascii="Sennheiser Office" w:hAnsi="Sennheiser Office" w:eastAsia="宋体"/>
          <w:b w:val="0"/>
          <w:bCs w:val="0"/>
          <w:lang w:eastAsia="zh-CN"/>
        </w:rPr>
        <w:t>1.8 mV/Pa（-54.9 dBV/Pa）</w:t>
      </w:r>
    </w:p>
    <w:p w14:paraId="29E19312">
      <w:pPr>
        <w:rPr>
          <w:rStyle w:val="18"/>
          <w:rFonts w:ascii="Sennheiser Office" w:hAnsi="Sennheiser Office" w:eastAsia="宋体"/>
          <w:b w:val="0"/>
          <w:bCs w:val="0"/>
          <w:lang w:eastAsia="zh-CN"/>
        </w:rPr>
      </w:pPr>
      <w:r>
        <w:rPr>
          <w:rStyle w:val="18"/>
          <w:rFonts w:ascii="Sennheiser Office" w:hAnsi="Sennheiser Office" w:eastAsia="宋体"/>
          <w:lang w:eastAsia="zh-CN"/>
        </w:rPr>
        <w:t>最大声压级：</w:t>
      </w:r>
      <w:r>
        <w:rPr>
          <w:rStyle w:val="18"/>
          <w:rFonts w:ascii="Sennheiser Office" w:hAnsi="Sennheiser Office" w:eastAsia="宋体"/>
          <w:b w:val="0"/>
          <w:bCs w:val="0"/>
          <w:lang w:eastAsia="zh-CN"/>
        </w:rPr>
        <w:t>163 dB</w:t>
      </w:r>
    </w:p>
    <w:p w14:paraId="2E91910C">
      <w:pPr>
        <w:rPr>
          <w:rStyle w:val="18"/>
          <w:rFonts w:ascii="Sennheiser Office" w:hAnsi="Sennheiser Office" w:eastAsia="宋体"/>
          <w:b w:val="0"/>
          <w:bCs w:val="0"/>
          <w:lang w:eastAsia="zh-CN"/>
        </w:rPr>
      </w:pPr>
      <w:r>
        <w:rPr>
          <w:rStyle w:val="18"/>
          <w:rFonts w:ascii="Sennheiser Office" w:hAnsi="Sennheiser Office" w:eastAsia="宋体"/>
          <w:lang w:eastAsia="zh-CN"/>
        </w:rPr>
        <w:t>重量：</w:t>
      </w:r>
      <w:r>
        <w:rPr>
          <w:rStyle w:val="18"/>
          <w:rFonts w:ascii="Sennheiser Office" w:hAnsi="Sennheiser Office" w:eastAsia="宋体"/>
          <w:b w:val="0"/>
          <w:bCs w:val="0"/>
          <w:lang w:eastAsia="zh-CN"/>
        </w:rPr>
        <w:t xml:space="preserve">119 </w:t>
      </w:r>
      <w:r>
        <w:rPr>
          <w:rStyle w:val="18"/>
          <w:rFonts w:hint="eastAsia" w:ascii="Sennheiser Office" w:hAnsi="Sennheiser Office" w:eastAsia="宋体"/>
          <w:b w:val="0"/>
          <w:bCs w:val="0"/>
          <w:lang w:eastAsia="zh-CN"/>
        </w:rPr>
        <w:t>g</w:t>
      </w:r>
    </w:p>
    <w:p w14:paraId="417AFC0D">
      <w:pPr>
        <w:rPr>
          <w:rStyle w:val="18"/>
          <w:rFonts w:ascii="Sennheiser Office" w:hAnsi="Sennheiser Office" w:eastAsia="宋体"/>
          <w:b w:val="0"/>
          <w:bCs w:val="0"/>
          <w:lang w:eastAsia="zh-CN"/>
        </w:rPr>
      </w:pPr>
      <w:r>
        <w:rPr>
          <w:rStyle w:val="18"/>
          <w:rFonts w:ascii="Sennheiser Office" w:hAnsi="Sennheiser Office" w:eastAsia="宋体"/>
          <w:lang w:eastAsia="zh-CN"/>
        </w:rPr>
        <w:t>直径：</w:t>
      </w:r>
      <w:r>
        <w:rPr>
          <w:rStyle w:val="18"/>
          <w:rFonts w:ascii="Sennheiser Office" w:hAnsi="Sennheiser Office" w:eastAsia="宋体"/>
          <w:b w:val="0"/>
          <w:bCs w:val="0"/>
          <w:lang w:eastAsia="zh-CN"/>
        </w:rPr>
        <w:t>51 mm</w:t>
      </w:r>
    </w:p>
    <w:p w14:paraId="795D69E9">
      <w:pPr>
        <w:rPr>
          <w:rStyle w:val="18"/>
          <w:rFonts w:ascii="Sennheiser Office" w:hAnsi="Sennheiser Office" w:eastAsia="宋体"/>
          <w:b w:val="0"/>
          <w:bCs w:val="0"/>
          <w:lang w:eastAsia="zh-CN"/>
        </w:rPr>
      </w:pPr>
      <w:r>
        <w:rPr>
          <w:rStyle w:val="18"/>
          <w:rFonts w:ascii="Sennheiser Office" w:hAnsi="Sennheiser Office" w:eastAsia="宋体"/>
          <w:lang w:eastAsia="zh-CN"/>
        </w:rPr>
        <w:t>高度：</w:t>
      </w:r>
      <w:r>
        <w:rPr>
          <w:rStyle w:val="18"/>
          <w:rFonts w:ascii="Sennheiser Office" w:hAnsi="Sennheiser Office" w:eastAsia="宋体"/>
          <w:b w:val="0"/>
          <w:bCs w:val="0"/>
          <w:lang w:eastAsia="zh-CN"/>
        </w:rPr>
        <w:t>72.5 mm</w:t>
      </w:r>
    </w:p>
    <w:p w14:paraId="18A9D6E1">
      <w:pPr>
        <w:rPr>
          <w:rFonts w:ascii="Sennheiser Office" w:hAnsi="Sennheiser Office" w:eastAsia="宋体"/>
          <w:lang w:eastAsia="zh-CN"/>
        </w:rPr>
      </w:pPr>
    </w:p>
    <w:p w14:paraId="36A3D3C0">
      <w:pPr>
        <w:rPr>
          <w:rFonts w:ascii="Sennheiser Office" w:hAnsi="Sennheiser Office" w:eastAsia="宋体"/>
          <w:lang w:eastAsia="zh-CN"/>
        </w:rPr>
      </w:pPr>
      <w:r>
        <w:rPr>
          <w:rFonts w:ascii="Sennheiser Office" w:hAnsi="Sennheiser Office" w:eastAsia="宋体"/>
          <w:lang w:eastAsia="zh-CN"/>
        </w:rPr>
        <w:t>（正文结束）</w:t>
      </w:r>
      <w:bookmarkEnd w:id="0"/>
    </w:p>
    <w:p w14:paraId="7E76F65D">
      <w:pPr>
        <w:rPr>
          <w:rFonts w:eastAsia="宋体"/>
          <w:b/>
          <w:bCs/>
          <w:lang w:eastAsia="zh-CN"/>
        </w:rPr>
      </w:pPr>
      <w:r>
        <w:rPr>
          <w:rFonts w:eastAsia="宋体"/>
          <w:b/>
          <w:bCs/>
          <w:lang w:eastAsia="zh-CN"/>
        </w:rPr>
        <w:br w:type="page"/>
      </w:r>
    </w:p>
    <w:p w14:paraId="7BC08BB7">
      <w:pPr>
        <w:pStyle w:val="32"/>
        <w:rPr>
          <w:rFonts w:eastAsia="宋体"/>
          <w:b/>
          <w:bCs/>
          <w:lang w:eastAsia="zh-CN"/>
        </w:rPr>
      </w:pPr>
      <w:r>
        <w:rPr>
          <w:rFonts w:eastAsia="宋体"/>
          <w:b/>
          <w:bCs/>
          <w:lang w:eastAsia="zh-CN"/>
        </w:rPr>
        <w:t>关于森海塞尔品牌——</w:t>
      </w:r>
      <w:r>
        <w:rPr>
          <w:rFonts w:hint="eastAsia" w:eastAsia="宋体"/>
          <w:b/>
          <w:bCs/>
          <w:lang w:eastAsia="zh-CN"/>
        </w:rPr>
        <w:t>80</w:t>
      </w:r>
      <w:r>
        <w:rPr>
          <w:rFonts w:eastAsia="宋体"/>
          <w:b/>
          <w:bCs/>
          <w:lang w:eastAsia="zh-CN"/>
        </w:rPr>
        <w:t>余载引领音频之未来</w:t>
      </w:r>
    </w:p>
    <w:p w14:paraId="24BCF38D">
      <w:pPr>
        <w:pStyle w:val="32"/>
        <w:rPr>
          <w:rFonts w:ascii="Sennheiser Office" w:hAnsi="Sennheiser Office" w:eastAsia="宋体"/>
          <w:lang w:eastAsia="zh-CN"/>
        </w:rPr>
      </w:pPr>
      <w:r>
        <w:rPr>
          <w:rFonts w:ascii="Sennheiser Office" w:hAnsi="Sennheiser Office" w:eastAsia="宋体"/>
          <w:lang w:eastAsia="zh-CN"/>
        </w:rPr>
        <w:t>音频是我们的生命之源。我们满怀热情，致力于创造与众不同的音频解决方案。这份热情引领我们登上世界顶级舞台，亦走进最安静的聆听空间，也使森海塞尔成为卓越音频的代名词，音质不仅出众，而且真实。自1945年成立以来，我们始终以打造音频之未来为己任，不断为客户缔造非凡的声音体验。</w:t>
      </w:r>
    </w:p>
    <w:p w14:paraId="7FD83CAA">
      <w:pPr>
        <w:pStyle w:val="32"/>
        <w:rPr>
          <w:rFonts w:ascii="Sennheiser Office" w:hAnsi="Sennheiser Office" w:eastAsia="宋体"/>
          <w:lang w:eastAsia="zh-CN"/>
        </w:rPr>
      </w:pPr>
      <w:r>
        <w:rPr>
          <w:rFonts w:ascii="Sennheiser Office" w:hAnsi="Sennheiser Office" w:eastAsia="宋体"/>
          <w:lang w:eastAsia="zh-CN"/>
        </w:rPr>
        <w:t>专业音频解决方案，如麦克风、会议解决方案、流媒体技术和监听系统等隶属于森海塞尔（Sennheiser electronic SE &amp; Co. KG）；而消费设备业务，包括耳机、条形音箱和语音增强系列耳机在森海塞尔的授权下由索诺瓦控股集团（Sonova Holding AG）运营。</w:t>
      </w:r>
    </w:p>
    <w:p w14:paraId="259C3ACC">
      <w:pPr>
        <w:pStyle w:val="32"/>
        <w:rPr>
          <w:rStyle w:val="63"/>
          <w:rFonts w:eastAsia="宋体"/>
          <w:lang w:eastAsia="zh-CN"/>
        </w:rPr>
      </w:pPr>
    </w:p>
    <w:p w14:paraId="75887375">
      <w:pPr>
        <w:pStyle w:val="32"/>
        <w:rPr>
          <w:rStyle w:val="63"/>
          <w:rFonts w:eastAsia="宋体"/>
        </w:rPr>
      </w:pPr>
      <w:r>
        <w:rPr>
          <w:rStyle w:val="63"/>
          <w:rFonts w:eastAsia="宋体"/>
        </w:rPr>
        <w:t xml:space="preserve">www.sennheiser.com </w:t>
      </w:r>
    </w:p>
    <w:p w14:paraId="0EC2370F">
      <w:pPr>
        <w:pStyle w:val="32"/>
        <w:rPr>
          <w:rStyle w:val="63"/>
          <w:rFonts w:eastAsia="宋体"/>
        </w:rPr>
      </w:pPr>
      <w:r>
        <w:fldChar w:fldCharType="begin"/>
      </w:r>
      <w:r>
        <w:instrText xml:space="preserve"> HYPERLINK "http://www.sennheiser-hearing.com" </w:instrText>
      </w:r>
      <w:r>
        <w:fldChar w:fldCharType="separate"/>
      </w:r>
      <w:r>
        <w:rPr>
          <w:rStyle w:val="63"/>
          <w:rFonts w:eastAsia="宋体"/>
        </w:rPr>
        <w:t>www.sennheiser-hearing.com</w:t>
      </w:r>
      <w:r>
        <w:rPr>
          <w:rStyle w:val="63"/>
          <w:rFonts w:eastAsia="宋体"/>
        </w:rPr>
        <w:fldChar w:fldCharType="end"/>
      </w:r>
    </w:p>
    <w:p w14:paraId="4BC6EF20">
      <w:pPr>
        <w:pStyle w:val="32"/>
        <w:rPr>
          <w:rStyle w:val="21"/>
          <w:color w:val="0095D5" w:themeColor="accent1"/>
          <w14:textFill>
            <w14:solidFill>
              <w14:schemeClr w14:val="accent1"/>
            </w14:solidFill>
          </w14:textFill>
        </w:rPr>
      </w:pPr>
    </w:p>
    <w:p w14:paraId="29D06CB4">
      <w:pPr>
        <w:pStyle w:val="30"/>
        <w:spacing w:line="240" w:lineRule="auto"/>
        <w:rPr>
          <w:rFonts w:ascii="Sennheiser Office" w:hAnsi="Sennheiser Office" w:eastAsia="宋体"/>
          <w:b/>
          <w:lang w:eastAsia="zh-CN"/>
        </w:rPr>
      </w:pPr>
    </w:p>
    <w:p w14:paraId="3BE6F335">
      <w:pPr>
        <w:pStyle w:val="30"/>
        <w:rPr>
          <w:rFonts w:ascii="Sennheiser Office" w:hAnsi="Sennheiser Office" w:eastAsia="宋体"/>
          <w:b/>
          <w:lang w:eastAsia="zh-CN"/>
        </w:rPr>
      </w:pPr>
      <w:r>
        <w:rPr>
          <w:rFonts w:ascii="Sennheiser Office" w:hAnsi="Sennheiser Office" w:eastAsia="宋体"/>
          <w:b/>
          <w:lang w:eastAsia="zh-CN"/>
        </w:rPr>
        <w:t>大中华区新闻联络人</w:t>
      </w:r>
    </w:p>
    <w:p w14:paraId="260D0C7A">
      <w:pPr>
        <w:pStyle w:val="30"/>
        <w:rPr>
          <w:rFonts w:ascii="Sennheiser Office" w:hAnsi="Sennheiser Office" w:eastAsia="宋体"/>
          <w:color w:val="0095D5"/>
          <w:lang w:eastAsia="zh-CN"/>
        </w:rPr>
      </w:pPr>
      <w:r>
        <w:rPr>
          <w:rFonts w:ascii="Sennheiser Office" w:hAnsi="Sennheiser Office" w:eastAsia="宋体"/>
          <w:color w:val="0095D5"/>
          <w:lang w:eastAsia="zh-CN"/>
        </w:rPr>
        <w:t>顾彦多</w:t>
      </w:r>
    </w:p>
    <w:p w14:paraId="5DA45E17">
      <w:pPr>
        <w:pStyle w:val="30"/>
        <w:rPr>
          <w:rFonts w:ascii="Sennheiser Office" w:hAnsi="Sennheiser Office" w:eastAsia="宋体"/>
        </w:rPr>
      </w:pPr>
      <w:r>
        <w:fldChar w:fldCharType="begin"/>
      </w:r>
      <w:r>
        <w:instrText xml:space="preserve"> HYPERLINK "mailto:ivy.gu@sennheiser.com" </w:instrText>
      </w:r>
      <w:r>
        <w:fldChar w:fldCharType="separate"/>
      </w:r>
      <w:r>
        <w:rPr>
          <w:rFonts w:ascii="Sennheiser Office" w:hAnsi="Sennheiser Office" w:eastAsia="宋体"/>
        </w:rPr>
        <w:t>ivy.gu@sennheiser.com</w:t>
      </w:r>
      <w:r>
        <w:rPr>
          <w:rFonts w:ascii="Sennheiser Office" w:hAnsi="Sennheiser Office" w:eastAsia="宋体"/>
        </w:rPr>
        <w:fldChar w:fldCharType="end"/>
      </w:r>
    </w:p>
    <w:p w14:paraId="05BA73EC">
      <w:pPr>
        <w:pStyle w:val="30"/>
        <w:rPr>
          <w:rFonts w:ascii="Sennheiser Office" w:hAnsi="Sennheiser Office" w:eastAsia="宋体"/>
        </w:rPr>
      </w:pPr>
      <w:r>
        <w:rPr>
          <w:rFonts w:ascii="Sennheiser Office" w:hAnsi="Sennheiser Office" w:eastAsia="宋体"/>
        </w:rPr>
        <w:t>+86-13810674317</w:t>
      </w:r>
    </w:p>
    <w:p w14:paraId="5CFDD6DC">
      <w:pPr>
        <w:rPr>
          <w:rFonts w:ascii="Sennheiser Office" w:hAnsi="Sennheiser Office"/>
          <w:sz w:val="16"/>
          <w:szCs w:val="16"/>
          <w:lang w:eastAsia="zh-CN"/>
        </w:rPr>
      </w:pPr>
    </w:p>
    <w:sectPr>
      <w:headerReference r:id="rId6" w:type="first"/>
      <w:footerReference r:id="rId7" w:type="first"/>
      <w:headerReference r:id="rId5" w:type="default"/>
      <w:pgSz w:w="11906" w:h="16838"/>
      <w:pgMar w:top="2754" w:right="2608" w:bottom="1418" w:left="1418" w:header="629" w:footer="134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90DEEA5-7ED9-7019-479A-A76993665277}"/>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黑体">
    <w:altName w:val="汉仪中黑KW"/>
    <w:panose1 w:val="00000000000000000000"/>
    <w:charset w:val="00"/>
    <w:family w:val="auto"/>
    <w:pitch w:val="default"/>
    <w:sig w:usb0="00000000" w:usb1="00000000" w:usb2="00000000" w:usb3="00000000" w:csb0="00000000" w:csb1="00000000"/>
  </w:font>
  <w:font w:name="Sennheiser Office">
    <w:panose1 w:val="020B0504020101010102"/>
    <w:charset w:val="00"/>
    <w:family w:val="auto"/>
    <w:pitch w:val="default"/>
    <w:sig w:usb0="A00000AF" w:usb1="500020DB" w:usb2="00000000" w:usb3="00000000" w:csb0="00000093" w:csb1="00000000"/>
    <w:embedRegular r:id="rId2" w:fontKey="{174924F4-94B9-65A8-479A-A7699D1B2B37}"/>
  </w:font>
  <w:font w:name="PMingLiU">
    <w:altName w:val="宋体-繁"/>
    <w:panose1 w:val="02010601000101010101"/>
    <w:charset w:val="88"/>
    <w:family w:val="roman"/>
    <w:pitch w:val="default"/>
    <w:sig w:usb0="00000000" w:usb1="00000000" w:usb2="00000016" w:usb3="00000000" w:csb0="00100001" w:csb1="00000000"/>
  </w:font>
  <w:font w:name="PMingLiU">
    <w:altName w:val="宋体-繁"/>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宋体-繁">
    <w:panose1 w:val="02010600040101010101"/>
    <w:charset w:val="86"/>
    <w:family w:val="auto"/>
    <w:pitch w:val="default"/>
    <w:sig w:usb0="00000287" w:usb1="080F0000" w:usb2="00000000" w:usb3="00000000" w:csb0="0004009F" w:csb1="DFD7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9AE98">
    <w:pPr>
      <w:pStyle w:val="10"/>
      <w:tabs>
        <w:tab w:val="left" w:pos="3068"/>
      </w:tabs>
    </w:pPr>
    <w:r>
      <w:drawing>
        <wp:anchor distT="0" distB="0" distL="114300" distR="114300" simplePos="0" relativeHeight="251659264" behindDoc="0" locked="1" layoutInCell="1" allowOverlap="1">
          <wp:simplePos x="0" y="0"/>
          <wp:positionH relativeFrom="page">
            <wp:posOffset>900430</wp:posOffset>
          </wp:positionH>
          <wp:positionV relativeFrom="page">
            <wp:posOffset>10153015</wp:posOffset>
          </wp:positionV>
          <wp:extent cx="1026160" cy="10795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3DDC1">
    <w:pPr>
      <w:pStyle w:val="11"/>
      <w:rPr>
        <w:color w:val="0095D5" w:themeColor="accent1"/>
        <w14:textFill>
          <w14:solidFill>
            <w14:schemeClr w14:val="accent1"/>
          </w14:solidFill>
        </w14:textFill>
      </w:rPr>
    </w:pPr>
    <w:r>
      <w:rPr>
        <w:color w:val="0095D5" w:themeColor="accent1"/>
        <w14:textFill>
          <w14:solidFill>
            <w14:schemeClr w14:val="accent1"/>
          </w14:solidFill>
        </w14:textFill>
      </w:rPr>
      <w:drawing>
        <wp:anchor distT="0" distB="0" distL="114300" distR="114300" simplePos="0" relativeHeight="251659264" behindDoc="0" locked="1" layoutInCell="1" allowOverlap="1">
          <wp:simplePos x="0" y="0"/>
          <wp:positionH relativeFrom="page">
            <wp:posOffset>900430</wp:posOffset>
          </wp:positionH>
          <wp:positionV relativeFrom="page">
            <wp:posOffset>422275</wp:posOffset>
          </wp:positionV>
          <wp:extent cx="575945" cy="431165"/>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rFonts w:hint="eastAsia" w:ascii="宋体" w:hAnsi="宋体" w:eastAsia="宋体"/>
        <w:color w:val="0095D5" w:themeColor="accent1"/>
        <w:lang w:eastAsia="zh-CN"/>
        <w14:textFill>
          <w14:solidFill>
            <w14:schemeClr w14:val="accent1"/>
          </w14:solidFill>
        </w14:textFill>
      </w:rPr>
      <w:t>新闻稿</w:t>
    </w:r>
  </w:p>
  <w:p w14:paraId="4C6F07FC">
    <w:pPr>
      <w:pStyle w:val="11"/>
    </w:pPr>
    <w:r>
      <w:fldChar w:fldCharType="begin"/>
    </w:r>
    <w:r>
      <w:instrText xml:space="preserve"> PAGE  \* Arabic  \* MERGEFORMAT </w:instrText>
    </w:r>
    <w:r>
      <w:fldChar w:fldCharType="separate"/>
    </w:r>
    <w:r>
      <w:t>2</w:t>
    </w:r>
    <w:r>
      <w:fldChar w:fldCharType="end"/>
    </w:r>
    <w:r>
      <w:t>/</w:t>
    </w:r>
    <w:r>
      <w:fldChar w:fldCharType="begin"/>
    </w:r>
    <w:r>
      <w:instrText xml:space="preserve">NUMPAGES  \* Arabic  \* MERGEFORMAT</w:instrText>
    </w:r>
    <w:r>
      <w:fldChar w:fldCharType="separate"/>
    </w:r>
    <w:r>
      <w:t>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8F69F">
    <w:pPr>
      <w:pStyle w:val="11"/>
      <w:rPr>
        <w:color w:val="0095D5" w:themeColor="accent1"/>
        <w14:textFill>
          <w14:solidFill>
            <w14:schemeClr w14:val="accent1"/>
          </w14:solidFill>
        </w14:textFill>
      </w:rPr>
    </w:pPr>
    <w:r>
      <w:rPr>
        <w:rFonts w:hint="eastAsia" w:ascii="宋体" w:hAnsi="宋体" w:eastAsia="宋体"/>
        <w:color w:val="0095D5" w:themeColor="accent1"/>
        <w:lang w:eastAsia="zh-CN"/>
        <w14:textFill>
          <w14:solidFill>
            <w14:schemeClr w14:val="accent1"/>
          </w14:solidFill>
        </w14:textFill>
      </w:rPr>
      <w:t>新闻稿</w:t>
    </w:r>
    <w:r>
      <w:rPr>
        <w:color w:val="0095D5" w:themeColor="accent1"/>
        <w14:textFill>
          <w14:solidFill>
            <w14:schemeClr w14:val="accent1"/>
          </w14:solidFill>
        </w14:textFill>
      </w:rPr>
      <w:drawing>
        <wp:anchor distT="0" distB="0" distL="114300" distR="114300" simplePos="0" relativeHeight="251659264" behindDoc="0" locked="1" layoutInCell="1" allowOverlap="1">
          <wp:simplePos x="0" y="0"/>
          <wp:positionH relativeFrom="page">
            <wp:posOffset>900430</wp:posOffset>
          </wp:positionH>
          <wp:positionV relativeFrom="page">
            <wp:posOffset>422275</wp:posOffset>
          </wp:positionV>
          <wp:extent cx="575945" cy="431165"/>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86A0383">
    <w:pPr>
      <w:pStyle w:val="11"/>
    </w:pPr>
    <w:r>
      <w:fldChar w:fldCharType="begin"/>
    </w:r>
    <w:r>
      <w:instrText xml:space="preserve"> PAGE  \* Arabic  \* MERGEFORMAT </w:instrText>
    </w:r>
    <w:r>
      <w:fldChar w:fldCharType="separate"/>
    </w:r>
    <w:r>
      <w:t>1</w:t>
    </w:r>
    <w:r>
      <w:fldChar w:fldCharType="end"/>
    </w:r>
    <w:r>
      <w:t>/</w:t>
    </w:r>
    <w:r>
      <w:fldChar w:fldCharType="begin"/>
    </w:r>
    <w:r>
      <w:instrText xml:space="preserve">NUMPAGES  \* Arabic  \* MERGEFORMAT</w:instrText>
    </w:r>
    <w:r>
      <w:fldChar w:fldCharType="separate"/>
    </w:r>
    <w:r>
      <w:t>5</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TrueTypeFonts/>
  <w:bordersDoNotSurroundHeader w:val="0"/>
  <w:bordersDoNotSurroundFooter w:val="0"/>
  <w:hideSpellingErrors/>
  <w:hideGrammaticalErrors/>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054"/>
    <w:rsid w:val="00021722"/>
    <w:rsid w:val="000235F6"/>
    <w:rsid w:val="000243F8"/>
    <w:rsid w:val="00027CAE"/>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2717"/>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4745"/>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77628"/>
    <w:rsid w:val="00180A88"/>
    <w:rsid w:val="0018271D"/>
    <w:rsid w:val="00182BE1"/>
    <w:rsid w:val="00186350"/>
    <w:rsid w:val="001867C4"/>
    <w:rsid w:val="00187053"/>
    <w:rsid w:val="00190C47"/>
    <w:rsid w:val="001918E9"/>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364"/>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B42"/>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1515"/>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027E"/>
    <w:rsid w:val="00392136"/>
    <w:rsid w:val="0039411C"/>
    <w:rsid w:val="00394C88"/>
    <w:rsid w:val="00394E13"/>
    <w:rsid w:val="003A0BE8"/>
    <w:rsid w:val="003A2008"/>
    <w:rsid w:val="003A26C2"/>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6FAB"/>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6D4"/>
    <w:rsid w:val="00423F36"/>
    <w:rsid w:val="004247A0"/>
    <w:rsid w:val="004258A9"/>
    <w:rsid w:val="00431785"/>
    <w:rsid w:val="004332C4"/>
    <w:rsid w:val="004336A3"/>
    <w:rsid w:val="0043430D"/>
    <w:rsid w:val="004360BC"/>
    <w:rsid w:val="004376A6"/>
    <w:rsid w:val="004403C9"/>
    <w:rsid w:val="00440B55"/>
    <w:rsid w:val="00440ED9"/>
    <w:rsid w:val="00442551"/>
    <w:rsid w:val="004457DF"/>
    <w:rsid w:val="0044601C"/>
    <w:rsid w:val="00446424"/>
    <w:rsid w:val="00447528"/>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3820"/>
    <w:rsid w:val="004744AB"/>
    <w:rsid w:val="00474E4B"/>
    <w:rsid w:val="00484CA7"/>
    <w:rsid w:val="004850F3"/>
    <w:rsid w:val="004852FA"/>
    <w:rsid w:val="00486075"/>
    <w:rsid w:val="00486C86"/>
    <w:rsid w:val="00490C42"/>
    <w:rsid w:val="00491E13"/>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7F4"/>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566"/>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4F54"/>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0E8B"/>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71F"/>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28C"/>
    <w:rsid w:val="005C698C"/>
    <w:rsid w:val="005C6E3D"/>
    <w:rsid w:val="005C7CCC"/>
    <w:rsid w:val="005C7ECC"/>
    <w:rsid w:val="005D0C92"/>
    <w:rsid w:val="005D25AD"/>
    <w:rsid w:val="005D295A"/>
    <w:rsid w:val="005D35A8"/>
    <w:rsid w:val="005D571F"/>
    <w:rsid w:val="005D67E5"/>
    <w:rsid w:val="005D7B43"/>
    <w:rsid w:val="005E0A4F"/>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99D"/>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8CA"/>
    <w:rsid w:val="006519BC"/>
    <w:rsid w:val="00654348"/>
    <w:rsid w:val="006626CC"/>
    <w:rsid w:val="00662BB7"/>
    <w:rsid w:val="00663812"/>
    <w:rsid w:val="00665D96"/>
    <w:rsid w:val="00666F0A"/>
    <w:rsid w:val="00667104"/>
    <w:rsid w:val="0066793E"/>
    <w:rsid w:val="00667AC8"/>
    <w:rsid w:val="00667F24"/>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0020"/>
    <w:rsid w:val="00701A09"/>
    <w:rsid w:val="0070339F"/>
    <w:rsid w:val="00703EC0"/>
    <w:rsid w:val="00704FBB"/>
    <w:rsid w:val="00705A75"/>
    <w:rsid w:val="00707782"/>
    <w:rsid w:val="00711B05"/>
    <w:rsid w:val="00713160"/>
    <w:rsid w:val="0071422C"/>
    <w:rsid w:val="00714695"/>
    <w:rsid w:val="007155FA"/>
    <w:rsid w:val="00720C00"/>
    <w:rsid w:val="007210EC"/>
    <w:rsid w:val="00723055"/>
    <w:rsid w:val="0072330B"/>
    <w:rsid w:val="007237E9"/>
    <w:rsid w:val="00724E7B"/>
    <w:rsid w:val="007276D9"/>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5BCC"/>
    <w:rsid w:val="007664CF"/>
    <w:rsid w:val="00766E21"/>
    <w:rsid w:val="007671C9"/>
    <w:rsid w:val="00767404"/>
    <w:rsid w:val="00770A3F"/>
    <w:rsid w:val="00770EAF"/>
    <w:rsid w:val="0077128D"/>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9263F"/>
    <w:rsid w:val="00792A93"/>
    <w:rsid w:val="00793211"/>
    <w:rsid w:val="0079333F"/>
    <w:rsid w:val="00796EF7"/>
    <w:rsid w:val="007A071C"/>
    <w:rsid w:val="007A0C84"/>
    <w:rsid w:val="007A2D75"/>
    <w:rsid w:val="007A4B6C"/>
    <w:rsid w:val="007A53BD"/>
    <w:rsid w:val="007A5797"/>
    <w:rsid w:val="007A5DEA"/>
    <w:rsid w:val="007A5F92"/>
    <w:rsid w:val="007A642B"/>
    <w:rsid w:val="007B0147"/>
    <w:rsid w:val="007B1E1A"/>
    <w:rsid w:val="007B3C94"/>
    <w:rsid w:val="007B4E6C"/>
    <w:rsid w:val="007C007C"/>
    <w:rsid w:val="007C1185"/>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2591"/>
    <w:rsid w:val="00823C71"/>
    <w:rsid w:val="008246A3"/>
    <w:rsid w:val="0082648A"/>
    <w:rsid w:val="00826B6A"/>
    <w:rsid w:val="00826BC7"/>
    <w:rsid w:val="008309B5"/>
    <w:rsid w:val="008314C9"/>
    <w:rsid w:val="00831FC2"/>
    <w:rsid w:val="0083215E"/>
    <w:rsid w:val="008342DC"/>
    <w:rsid w:val="00834966"/>
    <w:rsid w:val="00835082"/>
    <w:rsid w:val="00835C42"/>
    <w:rsid w:val="00835C5B"/>
    <w:rsid w:val="00842874"/>
    <w:rsid w:val="00842A37"/>
    <w:rsid w:val="00842A7D"/>
    <w:rsid w:val="00850503"/>
    <w:rsid w:val="008514C4"/>
    <w:rsid w:val="008521C4"/>
    <w:rsid w:val="0085476F"/>
    <w:rsid w:val="0085561B"/>
    <w:rsid w:val="00856149"/>
    <w:rsid w:val="0085705E"/>
    <w:rsid w:val="0085764F"/>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652"/>
    <w:rsid w:val="0088387D"/>
    <w:rsid w:val="00883DAB"/>
    <w:rsid w:val="008863A9"/>
    <w:rsid w:val="00886E20"/>
    <w:rsid w:val="008902D5"/>
    <w:rsid w:val="00892695"/>
    <w:rsid w:val="00892E5C"/>
    <w:rsid w:val="00892E5F"/>
    <w:rsid w:val="008936EE"/>
    <w:rsid w:val="00893768"/>
    <w:rsid w:val="008948CE"/>
    <w:rsid w:val="0089554C"/>
    <w:rsid w:val="008A0600"/>
    <w:rsid w:val="008A0A48"/>
    <w:rsid w:val="008A2E98"/>
    <w:rsid w:val="008A34D2"/>
    <w:rsid w:val="008A3BF3"/>
    <w:rsid w:val="008A4CA9"/>
    <w:rsid w:val="008A508E"/>
    <w:rsid w:val="008A511E"/>
    <w:rsid w:val="008A5362"/>
    <w:rsid w:val="008B05C7"/>
    <w:rsid w:val="008B0CC7"/>
    <w:rsid w:val="008B1581"/>
    <w:rsid w:val="008B302E"/>
    <w:rsid w:val="008B3DD9"/>
    <w:rsid w:val="008B4CAF"/>
    <w:rsid w:val="008B54DB"/>
    <w:rsid w:val="008B5C48"/>
    <w:rsid w:val="008B6753"/>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446"/>
    <w:rsid w:val="0097052A"/>
    <w:rsid w:val="0097112C"/>
    <w:rsid w:val="00974C26"/>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436B"/>
    <w:rsid w:val="009963F8"/>
    <w:rsid w:val="00996691"/>
    <w:rsid w:val="009973DF"/>
    <w:rsid w:val="00997A82"/>
    <w:rsid w:val="009A0974"/>
    <w:rsid w:val="009A15D0"/>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6EB8"/>
    <w:rsid w:val="009D79D0"/>
    <w:rsid w:val="009E0D1F"/>
    <w:rsid w:val="009E27A6"/>
    <w:rsid w:val="009E3461"/>
    <w:rsid w:val="009E3C44"/>
    <w:rsid w:val="009E3E90"/>
    <w:rsid w:val="009E7A10"/>
    <w:rsid w:val="009F136E"/>
    <w:rsid w:val="009F3673"/>
    <w:rsid w:val="009F46BC"/>
    <w:rsid w:val="009F57AF"/>
    <w:rsid w:val="009F5DCE"/>
    <w:rsid w:val="009F7CDB"/>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B3B"/>
    <w:rsid w:val="00A272F9"/>
    <w:rsid w:val="00A3245C"/>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214"/>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4C9C"/>
    <w:rsid w:val="00B16D78"/>
    <w:rsid w:val="00B17689"/>
    <w:rsid w:val="00B2032E"/>
    <w:rsid w:val="00B20769"/>
    <w:rsid w:val="00B20E88"/>
    <w:rsid w:val="00B21D9D"/>
    <w:rsid w:val="00B2342E"/>
    <w:rsid w:val="00B25453"/>
    <w:rsid w:val="00B2607F"/>
    <w:rsid w:val="00B30AE0"/>
    <w:rsid w:val="00B31C81"/>
    <w:rsid w:val="00B33C82"/>
    <w:rsid w:val="00B3544D"/>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08A1"/>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18C"/>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1B79"/>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18A8"/>
    <w:rsid w:val="00CC211F"/>
    <w:rsid w:val="00CC48A7"/>
    <w:rsid w:val="00CC5826"/>
    <w:rsid w:val="00CC702E"/>
    <w:rsid w:val="00CC795A"/>
    <w:rsid w:val="00CD11F1"/>
    <w:rsid w:val="00CD2BC9"/>
    <w:rsid w:val="00CD2D5D"/>
    <w:rsid w:val="00CD2F49"/>
    <w:rsid w:val="00CD5053"/>
    <w:rsid w:val="00CD5497"/>
    <w:rsid w:val="00CD5F7D"/>
    <w:rsid w:val="00CD7514"/>
    <w:rsid w:val="00CD7BAD"/>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0F7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3D50"/>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E6209"/>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33D"/>
    <w:rsid w:val="00E2798A"/>
    <w:rsid w:val="00E32CED"/>
    <w:rsid w:val="00E33165"/>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A4FF1"/>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47AE"/>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140"/>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0B62"/>
    <w:rsid w:val="00FE14AD"/>
    <w:rsid w:val="00FE1588"/>
    <w:rsid w:val="00FE2217"/>
    <w:rsid w:val="00FE4DA5"/>
    <w:rsid w:val="00FE562B"/>
    <w:rsid w:val="00FE5FA5"/>
    <w:rsid w:val="00FE64D8"/>
    <w:rsid w:val="00FF0D9A"/>
    <w:rsid w:val="00FF1E5F"/>
    <w:rsid w:val="00FF3D08"/>
    <w:rsid w:val="00FF4236"/>
    <w:rsid w:val="00FF4F9A"/>
    <w:rsid w:val="00FF51D7"/>
    <w:rsid w:val="00FF7DC9"/>
    <w:rsid w:val="53B54F2C"/>
    <w:rsid w:val="FB7F979D"/>
  </w:rsids>
  <m:mathPr>
    <m:mathFont m:val="Cambria Math"/>
    <m:brkBin m:val="before"/>
    <m:brkBinSub m:val="--"/>
    <m:smallFrac m:val="0"/>
    <m:dispDef/>
    <m:lMargin m:val="0"/>
    <m:rMargin m:val="0"/>
    <m:defJc m:val="centerGroup"/>
    <m:wrapIndent m:val="1440"/>
    <m:intLim m:val="subSup"/>
    <m:naryLim m:val="undOvr"/>
  </m:mathPr>
  <w:doNotAutoCompressPictures/>
  <w:themeFontLang w:val="de-DE" w:eastAsia="ja-JP"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uiPriority="9" w:semiHidden="0" w:name="heading 2"/>
    <w:lsdException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pPr>
    <w:rPr>
      <w:rFonts w:eastAsia="PMingLiU" w:asciiTheme="minorHAnsi" w:hAnsiTheme="minorHAnsi" w:cstheme="minorBidi"/>
      <w:sz w:val="18"/>
      <w:szCs w:val="22"/>
      <w:lang w:val="en-GB" w:eastAsia="en-US" w:bidi="ar-SA"/>
    </w:rPr>
  </w:style>
  <w:style w:type="paragraph" w:styleId="2">
    <w:name w:val="heading 1"/>
    <w:basedOn w:val="1"/>
    <w:next w:val="1"/>
    <w:link w:val="27"/>
    <w:qFormat/>
    <w:uiPriority w:val="9"/>
    <w:pPr>
      <w:outlineLvl w:val="0"/>
    </w:pPr>
    <w:rPr>
      <w:b/>
      <w:color w:val="0095D5" w:themeColor="accent1"/>
      <w14:textFill>
        <w14:solidFill>
          <w14:schemeClr w14:val="accent1"/>
        </w14:solidFill>
      </w14:textFill>
    </w:rPr>
  </w:style>
  <w:style w:type="paragraph" w:styleId="3">
    <w:name w:val="heading 2"/>
    <w:basedOn w:val="1"/>
    <w:next w:val="1"/>
    <w:link w:val="29"/>
    <w:unhideWhenUsed/>
    <w:uiPriority w:val="9"/>
    <w:pPr>
      <w:outlineLvl w:val="1"/>
    </w:pPr>
    <w:rPr>
      <w:b/>
    </w:rPr>
  </w:style>
  <w:style w:type="paragraph" w:styleId="4">
    <w:name w:val="heading 3"/>
    <w:basedOn w:val="1"/>
    <w:next w:val="1"/>
    <w:link w:val="62"/>
    <w:semiHidden/>
    <w:unhideWhenUsed/>
    <w:uiPriority w:val="9"/>
    <w:pPr>
      <w:keepNext/>
      <w:keepLines/>
      <w:spacing w:before="40"/>
      <w:outlineLvl w:val="2"/>
    </w:pPr>
    <w:rPr>
      <w:rFonts w:asciiTheme="majorHAnsi" w:hAnsiTheme="majorHAnsi" w:eastAsiaTheme="majorEastAsia" w:cstheme="majorBidi"/>
      <w:color w:val="004B6B" w:themeColor="accent1" w:themeShade="80"/>
      <w:sz w:val="24"/>
      <w:szCs w:val="24"/>
    </w:rPr>
  </w:style>
  <w:style w:type="paragraph" w:styleId="5">
    <w:name w:val="heading 4"/>
    <w:basedOn w:val="1"/>
    <w:next w:val="1"/>
    <w:link w:val="46"/>
    <w:semiHidden/>
    <w:unhideWhenUsed/>
    <w:qFormat/>
    <w:uiPriority w:val="9"/>
    <w:pPr>
      <w:keepNext/>
      <w:keepLines/>
      <w:spacing w:before="40"/>
      <w:outlineLvl w:val="3"/>
    </w:pPr>
    <w:rPr>
      <w:rFonts w:asciiTheme="majorHAnsi" w:hAnsiTheme="majorHAnsi" w:eastAsiaTheme="majorEastAsia" w:cstheme="majorBidi"/>
      <w:i/>
      <w:iCs/>
      <w:color w:val="0070A0" w:themeColor="accent1" w:themeShade="BF"/>
    </w:rPr>
  </w:style>
  <w:style w:type="paragraph" w:styleId="6">
    <w:name w:val="heading 5"/>
    <w:basedOn w:val="1"/>
    <w:next w:val="1"/>
    <w:link w:val="38"/>
    <w:semiHidden/>
    <w:unhideWhenUsed/>
    <w:qFormat/>
    <w:uiPriority w:val="9"/>
    <w:pPr>
      <w:keepNext/>
      <w:keepLines/>
      <w:spacing w:before="40"/>
      <w:outlineLvl w:val="4"/>
    </w:pPr>
    <w:rPr>
      <w:rFonts w:asciiTheme="majorHAnsi" w:hAnsiTheme="majorHAnsi" w:eastAsiaTheme="majorEastAsia" w:cstheme="majorBidi"/>
      <w:color w:val="0070A0" w:themeColor="accent1" w:themeShade="BF"/>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pPr>
      <w:spacing w:line="210" w:lineRule="atLeast"/>
    </w:pPr>
    <w:rPr>
      <w:sz w:val="15"/>
    </w:rPr>
  </w:style>
  <w:style w:type="paragraph" w:styleId="8">
    <w:name w:val="annotation text"/>
    <w:basedOn w:val="1"/>
    <w:link w:val="58"/>
    <w:unhideWhenUsed/>
    <w:uiPriority w:val="99"/>
    <w:pPr>
      <w:spacing w:line="240" w:lineRule="auto"/>
    </w:pPr>
    <w:rPr>
      <w:sz w:val="20"/>
      <w:szCs w:val="20"/>
    </w:rPr>
  </w:style>
  <w:style w:type="paragraph" w:styleId="9">
    <w:name w:val="Balloon Text"/>
    <w:basedOn w:val="1"/>
    <w:link w:val="33"/>
    <w:semiHidden/>
    <w:unhideWhenUsed/>
    <w:uiPriority w:val="99"/>
    <w:pPr>
      <w:spacing w:line="240" w:lineRule="auto"/>
    </w:pPr>
    <w:rPr>
      <w:rFonts w:ascii="Segoe UI" w:hAnsi="Segoe UI" w:cs="Segoe UI"/>
      <w:szCs w:val="18"/>
    </w:rPr>
  </w:style>
  <w:style w:type="paragraph" w:styleId="10">
    <w:name w:val="footer"/>
    <w:basedOn w:val="1"/>
    <w:link w:val="24"/>
    <w:unhideWhenUsed/>
    <w:uiPriority w:val="99"/>
    <w:pPr>
      <w:spacing w:line="180" w:lineRule="atLeast"/>
    </w:pPr>
    <w:rPr>
      <w:sz w:val="12"/>
    </w:rPr>
  </w:style>
  <w:style w:type="paragraph" w:styleId="11">
    <w:name w:val="header"/>
    <w:basedOn w:val="1"/>
    <w:link w:val="23"/>
    <w:unhideWhenUsed/>
    <w:uiPriority w:val="99"/>
    <w:pPr>
      <w:spacing w:line="195" w:lineRule="atLeast"/>
      <w:ind w:right="-1737"/>
      <w:jc w:val="right"/>
    </w:pPr>
    <w:rPr>
      <w:caps/>
      <w:spacing w:val="12"/>
      <w:sz w:val="15"/>
    </w:rPr>
  </w:style>
  <w:style w:type="paragraph" w:styleId="12">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13">
    <w:name w:val="Title"/>
    <w:basedOn w:val="1"/>
    <w:next w:val="1"/>
    <w:link w:val="26"/>
    <w:uiPriority w:val="10"/>
    <w:pPr>
      <w:spacing w:before="440" w:after="200"/>
      <w:contextualSpacing/>
    </w:pPr>
    <w:rPr>
      <w:sz w:val="24"/>
    </w:rPr>
  </w:style>
  <w:style w:type="paragraph" w:styleId="14">
    <w:name w:val="annotation subject"/>
    <w:basedOn w:val="8"/>
    <w:next w:val="8"/>
    <w:link w:val="59"/>
    <w:semiHidden/>
    <w:unhideWhenUsed/>
    <w:uiPriority w:val="99"/>
    <w:rPr>
      <w:b/>
      <w:bCs/>
    </w:rPr>
  </w:style>
  <w:style w:type="table" w:styleId="16">
    <w:name w:val="Table Grid"/>
    <w:basedOn w:val="15"/>
    <w:unhideWhenUsed/>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uiPriority w:val="22"/>
    <w:rPr>
      <w:b/>
      <w:bCs/>
    </w:rPr>
  </w:style>
  <w:style w:type="character" w:styleId="19">
    <w:name w:val="FollowedHyperlink"/>
    <w:basedOn w:val="17"/>
    <w:semiHidden/>
    <w:unhideWhenUsed/>
    <w:uiPriority w:val="99"/>
    <w:rPr>
      <w:color w:val="000000" w:themeColor="followedHyperlink"/>
      <w:u w:val="single"/>
      <w14:textFill>
        <w14:solidFill>
          <w14:schemeClr w14:val="folHlink"/>
        </w14:solidFill>
      </w14:textFill>
    </w:rPr>
  </w:style>
  <w:style w:type="character" w:styleId="20">
    <w:name w:val="Emphasis"/>
    <w:basedOn w:val="17"/>
    <w:qFormat/>
    <w:uiPriority w:val="20"/>
    <w:rPr>
      <w:i/>
      <w:iCs/>
    </w:rPr>
  </w:style>
  <w:style w:type="character" w:styleId="21">
    <w:name w:val="Hyperlink"/>
    <w:basedOn w:val="17"/>
    <w:unhideWhenUsed/>
    <w:uiPriority w:val="99"/>
    <w:rPr>
      <w:color w:val="000000" w:themeColor="hyperlink"/>
      <w:u w:val="single"/>
      <w14:textFill>
        <w14:solidFill>
          <w14:schemeClr w14:val="hlink"/>
        </w14:solidFill>
      </w14:textFill>
    </w:rPr>
  </w:style>
  <w:style w:type="character" w:styleId="22">
    <w:name w:val="annotation reference"/>
    <w:basedOn w:val="17"/>
    <w:semiHidden/>
    <w:unhideWhenUsed/>
    <w:uiPriority w:val="99"/>
    <w:rPr>
      <w:sz w:val="16"/>
      <w:szCs w:val="16"/>
    </w:rPr>
  </w:style>
  <w:style w:type="character" w:customStyle="1" w:styleId="23">
    <w:name w:val="页眉 字符"/>
    <w:basedOn w:val="17"/>
    <w:link w:val="11"/>
    <w:uiPriority w:val="99"/>
    <w:rPr>
      <w:caps/>
      <w:spacing w:val="12"/>
      <w:sz w:val="15"/>
      <w:lang w:val="en-GB"/>
    </w:rPr>
  </w:style>
  <w:style w:type="character" w:customStyle="1" w:styleId="24">
    <w:name w:val="页脚 字符"/>
    <w:basedOn w:val="17"/>
    <w:link w:val="10"/>
    <w:uiPriority w:val="99"/>
    <w:rPr>
      <w:sz w:val="12"/>
      <w:lang w:val="en-GB"/>
    </w:rPr>
  </w:style>
  <w:style w:type="paragraph" w:customStyle="1" w:styleId="25">
    <w:name w:val="Info"/>
    <w:basedOn w:val="1"/>
    <w:qFormat/>
    <w:uiPriority w:val="0"/>
    <w:pPr>
      <w:spacing w:line="180" w:lineRule="atLeast"/>
    </w:pPr>
    <w:rPr>
      <w:sz w:val="12"/>
    </w:rPr>
  </w:style>
  <w:style w:type="character" w:customStyle="1" w:styleId="26">
    <w:name w:val="标题 字符"/>
    <w:basedOn w:val="17"/>
    <w:link w:val="13"/>
    <w:uiPriority w:val="10"/>
    <w:rPr>
      <w:sz w:val="24"/>
      <w:lang w:val="en-GB"/>
    </w:rPr>
  </w:style>
  <w:style w:type="character" w:customStyle="1" w:styleId="27">
    <w:name w:val="标题 1 字符"/>
    <w:basedOn w:val="17"/>
    <w:link w:val="2"/>
    <w:uiPriority w:val="9"/>
    <w:rPr>
      <w:b/>
      <w:color w:val="0095D5" w:themeColor="accent1"/>
      <w:sz w:val="18"/>
      <w:lang w:val="en-GB"/>
      <w14:textFill>
        <w14:solidFill>
          <w14:schemeClr w14:val="accent1"/>
        </w14:solidFill>
      </w14:textFill>
    </w:rPr>
  </w:style>
  <w:style w:type="paragraph" w:customStyle="1" w:styleId="28">
    <w:name w:val="Marginal note"/>
    <w:basedOn w:val="1"/>
    <w:qFormat/>
    <w:uiPriority w:val="0"/>
    <w:pPr>
      <w:framePr w:w="1418" w:wrap="around" w:vAnchor="text" w:hAnchor="text" w:x="8194" w:y="41"/>
      <w:spacing w:line="195" w:lineRule="atLeast"/>
    </w:pPr>
    <w:rPr>
      <w:sz w:val="15"/>
    </w:rPr>
  </w:style>
  <w:style w:type="character" w:customStyle="1" w:styleId="29">
    <w:name w:val="标题 2 字符"/>
    <w:basedOn w:val="17"/>
    <w:link w:val="3"/>
    <w:uiPriority w:val="9"/>
    <w:rPr>
      <w:b/>
      <w:sz w:val="18"/>
      <w:lang w:val="en-GB"/>
    </w:rPr>
  </w:style>
  <w:style w:type="paragraph" w:customStyle="1" w:styleId="30">
    <w:name w:val="Contact"/>
    <w:basedOn w:val="1"/>
    <w:qFormat/>
    <w:uiPriority w:val="0"/>
    <w:pPr>
      <w:tabs>
        <w:tab w:val="left" w:pos="4111"/>
      </w:tabs>
      <w:spacing w:line="210" w:lineRule="atLeast"/>
    </w:pPr>
    <w:rPr>
      <w:sz w:val="15"/>
    </w:rPr>
  </w:style>
  <w:style w:type="paragraph" w:customStyle="1" w:styleId="31">
    <w:name w:val="Embargo"/>
    <w:basedOn w:val="1"/>
    <w:qFormat/>
    <w:uiPriority w:val="0"/>
    <w:pPr>
      <w:spacing w:after="240"/>
    </w:pPr>
    <w:rPr>
      <w:b/>
      <w:color w:val="FF0A14"/>
    </w:rPr>
  </w:style>
  <w:style w:type="paragraph" w:customStyle="1" w:styleId="32">
    <w:name w:val="About"/>
    <w:basedOn w:val="1"/>
    <w:qFormat/>
    <w:uiPriority w:val="0"/>
    <w:pPr>
      <w:spacing w:line="240" w:lineRule="auto"/>
    </w:pPr>
  </w:style>
  <w:style w:type="character" w:customStyle="1" w:styleId="33">
    <w:name w:val="批注框文本 字符"/>
    <w:basedOn w:val="17"/>
    <w:link w:val="9"/>
    <w:semiHidden/>
    <w:uiPriority w:val="99"/>
    <w:rPr>
      <w:rFonts w:ascii="Segoe UI" w:hAnsi="Segoe UI" w:cs="Segoe UI"/>
      <w:sz w:val="18"/>
      <w:szCs w:val="18"/>
      <w:lang w:val="en-GB"/>
    </w:rPr>
  </w:style>
  <w:style w:type="paragraph" w:customStyle="1" w:styleId="34">
    <w:name w:val="senn-regular"/>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customStyle="1" w:styleId="35">
    <w:name w:val="price__currency-sign"/>
    <w:basedOn w:val="17"/>
    <w:uiPriority w:val="0"/>
  </w:style>
  <w:style w:type="character" w:customStyle="1" w:styleId="36">
    <w:name w:val="price__amount"/>
    <w:basedOn w:val="17"/>
    <w:uiPriority w:val="0"/>
  </w:style>
  <w:style w:type="paragraph" w:customStyle="1" w:styleId="37">
    <w:name w:val="product-teaser__price__details"/>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customStyle="1" w:styleId="38">
    <w:name w:val="标题 5 字符"/>
    <w:basedOn w:val="17"/>
    <w:link w:val="6"/>
    <w:semiHidden/>
    <w:uiPriority w:val="9"/>
    <w:rPr>
      <w:rFonts w:asciiTheme="majorHAnsi" w:hAnsiTheme="majorHAnsi" w:eastAsiaTheme="majorEastAsia" w:cstheme="majorBidi"/>
      <w:color w:val="0070A0" w:themeColor="accent1" w:themeShade="BF"/>
      <w:sz w:val="18"/>
      <w:lang w:val="en-GB"/>
    </w:rPr>
  </w:style>
  <w:style w:type="paragraph" w:customStyle="1" w:styleId="39">
    <w:name w:val="msonormal"/>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customStyle="1" w:styleId="40">
    <w:name w:val="xl20"/>
    <w:basedOn w:val="1"/>
    <w:uiPriority w:val="0"/>
    <w:pPr>
      <w:spacing w:before="100" w:beforeAutospacing="1" w:after="100" w:afterAutospacing="1" w:line="240" w:lineRule="auto"/>
    </w:pPr>
    <w:rPr>
      <w:rFonts w:ascii="Times New Roman" w:hAnsi="Times New Roman" w:eastAsia="Times New Roman" w:cs="Times New Roman"/>
      <w:color w:val="0563C1"/>
      <w:sz w:val="24"/>
      <w:szCs w:val="24"/>
      <w:u w:val="single"/>
      <w:lang w:val="de-DE" w:eastAsia="de-DE"/>
    </w:rPr>
  </w:style>
  <w:style w:type="paragraph" w:customStyle="1" w:styleId="41">
    <w:name w:val="xl21"/>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customStyle="1" w:styleId="42">
    <w:name w:val="xl23"/>
    <w:basedOn w:val="1"/>
    <w:uiPriority w:val="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customStyle="1" w:styleId="43">
    <w:name w:val="xl26"/>
    <w:basedOn w:val="1"/>
    <w:uiPriority w:val="0"/>
    <w:pPr>
      <w:spacing w:before="100" w:beforeAutospacing="1" w:after="100" w:afterAutospacing="1" w:line="240" w:lineRule="auto"/>
      <w:textAlignment w:val="center"/>
    </w:pPr>
    <w:rPr>
      <w:rFonts w:ascii="Times New Roman" w:hAnsi="Times New Roman" w:eastAsia="Times New Roman" w:cs="Times New Roman"/>
      <w:sz w:val="22"/>
      <w:lang w:val="de-DE" w:eastAsia="de-DE"/>
    </w:rPr>
  </w:style>
  <w:style w:type="character" w:customStyle="1" w:styleId="44">
    <w:name w:val="Nicht aufgelöste Erwähnung1"/>
    <w:basedOn w:val="17"/>
    <w:semiHidden/>
    <w:unhideWhenUsed/>
    <w:uiPriority w:val="99"/>
    <w:rPr>
      <w:color w:val="605E5C"/>
      <w:shd w:val="clear" w:color="auto" w:fill="E1DFDD"/>
    </w:rPr>
  </w:style>
  <w:style w:type="paragraph" w:styleId="45">
    <w:name w:val="List Paragraph"/>
    <w:basedOn w:val="1"/>
    <w:qFormat/>
    <w:uiPriority w:val="34"/>
    <w:pPr>
      <w:ind w:left="720"/>
      <w:contextualSpacing/>
    </w:pPr>
  </w:style>
  <w:style w:type="character" w:customStyle="1" w:styleId="46">
    <w:name w:val="标题 4 字符"/>
    <w:basedOn w:val="17"/>
    <w:link w:val="5"/>
    <w:semiHidden/>
    <w:uiPriority w:val="9"/>
    <w:rPr>
      <w:rFonts w:asciiTheme="majorHAnsi" w:hAnsiTheme="majorHAnsi" w:eastAsiaTheme="majorEastAsia" w:cstheme="majorBidi"/>
      <w:i/>
      <w:iCs/>
      <w:color w:val="0070A0" w:themeColor="accent1" w:themeShade="BF"/>
      <w:sz w:val="18"/>
      <w:lang w:val="en-GB"/>
    </w:rPr>
  </w:style>
  <w:style w:type="paragraph" w:customStyle="1" w:styleId="47">
    <w:name w:val="paragraph"/>
    <w:basedOn w:val="1"/>
    <w:uiPriority w:val="0"/>
    <w:pPr>
      <w:spacing w:before="100" w:beforeAutospacing="1" w:after="100" w:afterAutospacing="1" w:line="240" w:lineRule="auto"/>
    </w:pPr>
    <w:rPr>
      <w:rFonts w:ascii="Calibri" w:hAnsi="Calibri" w:cs="Calibri"/>
      <w:sz w:val="22"/>
      <w:lang w:val="de-DE" w:eastAsia="de-DE"/>
    </w:rPr>
  </w:style>
  <w:style w:type="character" w:customStyle="1" w:styleId="48">
    <w:name w:val="normaltextrun"/>
    <w:basedOn w:val="17"/>
    <w:uiPriority w:val="0"/>
  </w:style>
  <w:style w:type="character" w:customStyle="1" w:styleId="49">
    <w:name w:val="eop"/>
    <w:basedOn w:val="17"/>
    <w:uiPriority w:val="0"/>
  </w:style>
  <w:style w:type="character" w:customStyle="1" w:styleId="50">
    <w:name w:val="Nicht aufgelöste Erwähnung2"/>
    <w:basedOn w:val="17"/>
    <w:semiHidden/>
    <w:unhideWhenUsed/>
    <w:uiPriority w:val="99"/>
    <w:rPr>
      <w:color w:val="605E5C"/>
      <w:shd w:val="clear" w:color="auto" w:fill="E1DFDD"/>
    </w:rPr>
  </w:style>
  <w:style w:type="character" w:customStyle="1" w:styleId="51">
    <w:name w:val="scxw52813454"/>
    <w:basedOn w:val="17"/>
    <w:uiPriority w:val="0"/>
  </w:style>
  <w:style w:type="character" w:customStyle="1" w:styleId="52">
    <w:name w:val="ms-h3"/>
    <w:basedOn w:val="17"/>
    <w:uiPriority w:val="0"/>
  </w:style>
  <w:style w:type="character" w:customStyle="1" w:styleId="53">
    <w:name w:val="scxw130742757"/>
    <w:basedOn w:val="17"/>
    <w:uiPriority w:val="0"/>
  </w:style>
  <w:style w:type="character" w:customStyle="1" w:styleId="54">
    <w:name w:val="ydpb5a3d5bfs1"/>
    <w:basedOn w:val="17"/>
    <w:uiPriority w:val="0"/>
  </w:style>
  <w:style w:type="character" w:customStyle="1" w:styleId="55">
    <w:name w:val="Unresolved Mention"/>
    <w:basedOn w:val="17"/>
    <w:semiHidden/>
    <w:unhideWhenUsed/>
    <w:uiPriority w:val="99"/>
    <w:rPr>
      <w:color w:val="605E5C"/>
      <w:shd w:val="clear" w:color="auto" w:fill="E1DFDD"/>
    </w:rPr>
  </w:style>
  <w:style w:type="character" w:customStyle="1" w:styleId="56">
    <w:name w:val="scxw170946324"/>
    <w:basedOn w:val="17"/>
    <w:uiPriority w:val="0"/>
  </w:style>
  <w:style w:type="character" w:customStyle="1" w:styleId="57">
    <w:name w:val="bcx9"/>
    <w:basedOn w:val="17"/>
    <w:uiPriority w:val="0"/>
  </w:style>
  <w:style w:type="character" w:customStyle="1" w:styleId="58">
    <w:name w:val="批注文字 字符"/>
    <w:basedOn w:val="17"/>
    <w:link w:val="8"/>
    <w:uiPriority w:val="99"/>
    <w:rPr>
      <w:sz w:val="20"/>
      <w:szCs w:val="20"/>
      <w:lang w:val="en-GB"/>
    </w:rPr>
  </w:style>
  <w:style w:type="character" w:customStyle="1" w:styleId="59">
    <w:name w:val="批注主题 字符"/>
    <w:basedOn w:val="58"/>
    <w:link w:val="14"/>
    <w:semiHidden/>
    <w:uiPriority w:val="99"/>
    <w:rPr>
      <w:b/>
      <w:bCs/>
      <w:sz w:val="20"/>
      <w:szCs w:val="20"/>
      <w:lang w:val="en-GB"/>
    </w:rPr>
  </w:style>
  <w:style w:type="paragraph" w:customStyle="1" w:styleId="60">
    <w:name w:val="Revision"/>
    <w:hidden/>
    <w:semiHidden/>
    <w:uiPriority w:val="99"/>
    <w:pPr>
      <w:spacing w:after="0" w:line="240" w:lineRule="auto"/>
    </w:pPr>
    <w:rPr>
      <w:rFonts w:eastAsia="PMingLiU" w:asciiTheme="minorHAnsi" w:hAnsiTheme="minorHAnsi" w:cstheme="minorBidi"/>
      <w:sz w:val="18"/>
      <w:szCs w:val="22"/>
      <w:lang w:val="en-GB" w:eastAsia="en-US" w:bidi="ar-SA"/>
    </w:rPr>
  </w:style>
  <w:style w:type="character" w:customStyle="1" w:styleId="61">
    <w:name w:val="cf01"/>
    <w:basedOn w:val="17"/>
    <w:uiPriority w:val="0"/>
    <w:rPr>
      <w:rFonts w:hint="default" w:ascii="Segoe UI" w:hAnsi="Segoe UI" w:cs="Segoe UI"/>
      <w:sz w:val="18"/>
      <w:szCs w:val="18"/>
    </w:rPr>
  </w:style>
  <w:style w:type="character" w:customStyle="1" w:styleId="62">
    <w:name w:val="标题 3 字符"/>
    <w:basedOn w:val="17"/>
    <w:link w:val="4"/>
    <w:semiHidden/>
    <w:uiPriority w:val="9"/>
    <w:rPr>
      <w:rFonts w:asciiTheme="majorHAnsi" w:hAnsiTheme="majorHAnsi" w:eastAsiaTheme="majorEastAsia" w:cstheme="majorBidi"/>
      <w:color w:val="004B6B" w:themeColor="accent1" w:themeShade="80"/>
      <w:sz w:val="24"/>
      <w:szCs w:val="24"/>
      <w:lang w:val="en-GB"/>
    </w:rPr>
  </w:style>
  <w:style w:type="character" w:customStyle="1" w:styleId="63">
    <w:name w:val="Hyperlink.1"/>
    <w:basedOn w:val="17"/>
    <w:uiPriority w:val="0"/>
    <w:rPr>
      <w:color w:val="0095D5"/>
      <w:u w:val="none" w:color="0095D5"/>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http://schemas.openxmlformats.org/officeDocument/2006/bibliography" xmlns:b="http://schemas.openxmlformats.org/officeDocument/2006/bibliography" Version="6" StyleName="APA" SelectedStyle="\APASixthEditionOfficeOnline.xsl"/>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ma:contentTypeID="0x0101005184EBB57F5B6F41A673394BC1BD68F7" ma:contentTypeScope="" ma:versionID="7e0eafc120bd39a5ed0e9b77cbaed947" ma:contentTypeVersion="15" ct:_="" ma:contentTypeName="Document" ma:_="" ma:contentTypeDescription="Create a new document.">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ns2:_="" ma:fieldsID="20a479ae694ef021aa7adddb479872b2" ma:root="true"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ma:readOnly="true" nillable="true" name="MediaServiceMetadata" ma:index="8" ma:internalName="MediaServiceMetadata" ma:displayName="MediaServiceMetadata" ma:hidden="true">
      <xsd:simpleType>
        <xsd:restriction base="dms:Note"/>
      </xsd:simpleType>
    </xsd:element>
    <xsd:element ma:readOnly="true" nillable="true" name="MediaServiceFastMetadata" ma:index="9" ma:internalName="MediaServiceFastMetadata" ma:displayName="MediaServiceFastMetadata" ma:hidden="true">
      <xsd:simpleType>
        <xsd:restriction base="dms:Note"/>
      </xsd:simpleType>
    </xsd:element>
    <xsd:element ma:readOnly="true" nillable="true" name="MediaServiceAutoKeyPoints" ma:index="10" ma:internalName="MediaServiceAutoKeyPoints" ma:displayName="MediaServiceAutoKeyPoints" ma:hidden="true">
      <xsd:simpleType>
        <xsd:restriction base="dms:Note"/>
      </xsd:simpleType>
    </xsd:element>
    <xsd:element ma:readOnly="true" nillable="true" name="MediaServiceKeyPoints" ma:index="11" ma:internalName="MediaServiceKeyPoints" ma:displayName="KeyPoints">
      <xsd:simpleType>
        <xsd:restriction base="dms:Note">
          <xsd:maxLength value="255"/>
        </xsd:restriction>
      </xsd:simpleType>
    </xsd:element>
    <xsd:element ma:readOnly="true" nillable="true" name="MediaServiceDateTaken" ma:index="12" ma:internalName="MediaServiceDateTaken" ma:displayName="MediaServiceDateTaken" ma:hidden="true">
      <xsd:simpleType>
        <xsd:restriction base="dms:Text"/>
      </xsd:simpleType>
    </xsd:element>
    <xsd:element ma:readOnly="true" nillable="true" name="MediaLengthInSeconds" ma:index="13" ma:internalName="MediaLengthInSeconds" ma:displayName="Length (seconds)">
      <xsd:simpleType>
        <xsd:restriction base="dms:Unknown"/>
      </xsd:simpleType>
    </xsd:element>
    <xsd:element ma:readOnly="true" nillable="true" name="MediaServiceGenerationTime" ma:index="14" ma:internalName="MediaServiceGenerationTime" ma:displayName="MediaServiceGenerationTime" ma:hidden="true">
      <xsd:simpleType>
        <xsd:restriction base="dms:Text"/>
      </xsd:simpleType>
    </xsd:element>
    <xsd:element ma:readOnly="true" nillable="true" name="MediaServiceEventHashCode" ma:index="15" ma:internalName="MediaServiceEventHashCode" ma:displayName="MediaServiceEventHashCode" ma:hidden="true">
      <xsd:simpleType>
        <xsd:restriction base="dms:Text"/>
      </xsd:simpleType>
    </xsd:element>
    <xsd:element ma:readOnly="true" nillable="true" name="MediaServiceOCR" ma:index="16" ma:internalName="MediaServiceOCR" ma:displayName="Extracted Text">
      <xsd:simpleType>
        <xsd:restriction base="dms:Note">
          <xsd:maxLength value="255"/>
        </xsd:restriction>
      </xsd:simpleType>
    </xsd:element>
    <xsd:element ma:readOnly="true" nillable="true" name="MediaServiceLocation" ma:index="17" ma:internalName="MediaServiceLocation" ma:displayName="Location">
      <xsd:simpleType>
        <xsd:restriction base="dms:Text"/>
      </xsd:simpleType>
    </xsd:element>
    <xsd:element ma:fieldId="{5cf76f15-5ced-4ddc-b409-7134ff3c332f}" ma:anchorId="fba54fb3-c3e1-fe81-a776-ca4b69148c4d" ma:open="true" ma:readOnly="false" nillable="true" ma:taxonomyMulti="true" ma:isKeyword="false" ma:sspId="8d87a1d6-dce8-4239-8b3f-08a8d18b58c1" name="lcf76f155ced4ddcb4097134ff3c332f" ma:taxonomy="true" ma:taxonomyFieldName="MediaServiceImageTags" ma:index="19" ma:termSetId="09814cd3-568e-fe90-9814-8d621ff8fb84" ma:internalName="lcf76f155ced4ddcb4097134ff3c332f" ma:displayName="Image Tags">
      <xsd:complexType>
        <xsd:sequence>
          <xsd:element ref="pc:Terms" maxOccurs="1" minOccurs="0"/>
        </xsd:sequence>
      </xsd:complexType>
    </xsd:element>
    <xsd:element ma:readOnly="true" nillable="true" name="MediaServiceSearchProperties" ma:index="21" ma:internalName="MediaServiceSearchProperties" ma:displayName="MediaServiceSearchProperties" ma:hidden="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ma:list="{d4a7ae09-9124-4a6a-b81a-f872cb4156eb}" nillable="true" ma:showField="CatchAllData" name="TaxCatchAll" ma:index="20" ma:internalName="TaxCatchAll" ma:displayName="Taxonomy Catch All Column" ma:hidden="true" ma:web="8d9f8a42-9bbf-4c5a-845e-7a3f34491935">
      <xsd:complexType>
        <xsd:complexContent>
          <xsd:extension base="dms:MultiChoiceLookup">
            <xsd:sequence>
              <xsd:element type="dms:Lookup" maxOccurs="unbounded" minOccurs="0" nillable="true" name="Value"/>
            </xsd:sequence>
          </xsd:extension>
        </xsd:complexContent>
      </xsd:complexType>
    </xsd:element>
  </xsd:schema>
  <xsd:schema xmlns:xsd="http://www.w3.org/2001/XMLSchema" xmlns="http://schemas.openxmlformats.org/package/2006/metadata/core-properties" xmlns:dcterms="http://purl.org/dc/terms/" xmlns:odoc="http://schemas.microsoft.com/internal/obd" xmlns:xsi="http://www.w3.org/2001/XMLSchema-instance" xmlns:dc="http://purl.org/dc/elements/1.1/" targetNamespace="http://schemas.openxmlformats.org/package/2006/metadata/core-properties" attributeFormDefault="unqualified" blockDefault="#all" elementFormDefault="qualified">
    <xsd:import namespace="http://purl.org/dc/elements/1.1/" schemaLocation="http://dublincore.org/schemas/xmls/qdc/2003/04/02/dc.xsd"/>
    <xsd:import namespace="http://purl.org/dc/terms/" schemaLocation="http://dublincore.org/schemas/xmls/qdc/2003/04/02/dcterms.xsd"/>
    <xsd:element type="CT_coreProperties" name="coreProperties"/>
    <xsd:complexType name="CT_coreProperties">
      <xsd:all>
        <xsd:element ref="dc:creator" maxOccurs="1" minOccurs="0"/>
        <xsd:element ref="dcterms:created" maxOccurs="1" minOccurs="0"/>
        <xsd:element ref="dc:identifier" maxOccurs="1" minOccurs="0"/>
        <xsd:element type="xsd:string" maxOccurs="1" minOccurs="0" name="contentType" ma:index="0" ma:displayName="Content Type"/>
        <xsd:element ref="dc:title" maxOccurs="1" minOccurs="0" ma:index="4" ma:displayName="Title"/>
        <xsd:element ref="dc:subject" maxOccurs="1" minOccurs="0"/>
        <xsd:element ref="dc:description" maxOccurs="1" minOccurs="0"/>
        <xsd:element type="xsd:string" maxOccurs="1" minOccurs="0" name="keywords"/>
        <xsd:element ref="dc:language" maxOccurs="1" minOccurs="0"/>
        <xsd:element type="xsd:string" maxOccurs="1" minOccurs="0" name="category"/>
        <xsd:element type="xsd:string" maxOccurs="1" minOccurs="0" name="version"/>
        <xsd:element type="xsd:string" maxOccurs="1" minOccurs="0" name="revision">
          <xsd:annotation>
            <xsd:documentation>
                        This value indicates the number of saves or revisions. The application is responsible for updating this value after each revision.
                    </xsd:documentation>
          </xsd:annotation>
        </xsd:element>
        <xsd:element type="xsd:string" maxOccurs="1" minOccurs="0" name="lastModifiedBy"/>
        <xsd:element ref="dcterms:modified" maxOccurs="1" minOccurs="0"/>
        <xsd:element type="xsd:string" maxOccurs="1" minOccurs="0" name="contentStatus"/>
      </xsd:all>
    </xsd:complexType>
  </xsd:schema>
  <xs:schema xmlns:xs="http://www.w3.org/2001/XMLSchema" xmlns:pc="http://schemas.microsoft.com/office/infopath/2007/PartnerControls" targetNamespace="http://schemas.microsoft.com/office/infopath/2007/PartnerControls" attributeFormDefault="unqualified" elementFormDefault="qualified">
    <xs:element name="Person">
      <xs:complexType>
        <xs:sequence>
          <xs:element ref="pc:DisplayName" minOccurs="0"/>
          <xs:element ref="pc:AccountId" minOccurs="0"/>
          <xs:element ref="pc:AccountType" minOccurs="0"/>
        </xs:sequence>
      </xs:complexType>
    </xs:element>
    <xs:element type="xs:string" name="DisplayName"/>
    <xs:element type="xs:string" name="AccountId"/>
    <xs:element type="xs:string" name="AccountType"/>
    <xs:element name="BDCAssociatedEntity">
      <xs:complexType>
        <xs:sequence>
          <xs:element ref="pc:BDCEntity" maxOccurs="unbounded" minOccurs="0"/>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ref="pc:TermInfo" maxOccurs="unbounded" minOccurs="0"/>
        </xs:sequence>
      </xs:complexType>
    </xs:element>
    <xs:element name="TermInfo">
      <xs:complexType>
        <xs:sequence>
          <xs:element ref="pc:TermName" minOccurs="0"/>
          <xs:element ref="pc:TermId" minOccurs="0"/>
        </xs:sequence>
      </xs:complexType>
    </xs:element>
    <xs:element type="xs:string" name="TermName"/>
    <xs:element type="xs:string" name="TermId"/>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datastoreItem>
</file>

<file path=customXml/itemProps2.xml><?xml version="1.0" encoding="utf-8"?>
<ds:datastoreItem xmlns:ds="http://schemas.openxmlformats.org/officeDocument/2006/customXml" ds:itemID="{B1F0320C-769A-4D33-A1D3-0B9DC7C78037}">
  <ds:schemaRefs/>
</ds:datastoreItem>
</file>

<file path=customXml/itemProps3.xml><?xml version="1.0" encoding="utf-8"?>
<ds:datastoreItem xmlns:ds="http://schemas.openxmlformats.org/officeDocument/2006/customXml" ds:itemID="{20121CA5-0852-4D6A-8153-517551E354FF}">
  <ds:schemaRefs/>
</ds:datastoreItem>
</file>

<file path=customXml/itemProps4.xml><?xml version="1.0" encoding="utf-8"?>
<ds:datastoreItem xmlns:ds="http://schemas.openxmlformats.org/officeDocument/2006/customXml" ds:itemID="{8855B176-05F2-48C7-88F9-8085A8AC0060}">
  <ds:schemaRefs/>
</ds:datastoreItem>
</file>

<file path=docProps/app.xml><?xml version="1.0" encoding="utf-8"?>
<Properties xmlns="http://schemas.openxmlformats.org/officeDocument/2006/extended-properties" xmlns:vt="http://schemas.openxmlformats.org/officeDocument/2006/docPropsVTypes">
  <Template>Normal.dotm</Template>
  <Company>Sennheiser electronic GmbH &amp; Co. KG</Company>
  <Pages>3</Pages>
  <Words>207</Words>
  <Characters>1186</Characters>
  <Lines>9</Lines>
  <Paragraphs>2</Paragraphs>
  <TotalTime>0</TotalTime>
  <ScaleCrop>false</ScaleCrop>
  <LinksUpToDate>false</LinksUpToDate>
  <CharactersWithSpaces>1391</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2026-02-28T16:07:00Z</dcterms:created>
  <dc:creator>Sennheiser electronic GmbH &amp; Co. KG</dc:creator>
  <cp:lastModifiedBy>赵炜嘉</cp:lastModifiedBy>
  <cp:lastPrinted>2026-02-24T23:52:00Z</cp:lastPrinted>
  <dcterms:modified xsi:type="dcterms:W3CDTF">2026-03-04T10:34:47Z</dcterms:modified>
  <dc:title>Press Release</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y fmtid="{D5CDD505-2E9C-101B-9397-08002B2CF9AE}" pid="4" name="KSOProductBuildVer">
    <vt:lpwstr>2052-12.1.24031.24031</vt:lpwstr>
  </property>
  <property fmtid="{D5CDD505-2E9C-101B-9397-08002B2CF9AE}" pid="5" name="ICV">
    <vt:lpwstr>A555FD29E04D1B3C479AA7699EB02459_42</vt:lpwstr>
  </property>
</Properties>
</file>